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24"/>
        <w:gridCol w:w="4824"/>
      </w:tblGrid>
      <w:tr>
        <w:tc>
          <w:tcPr>
            <w:tcW w:type="dxa" w:w="6480"/>
          </w:tcPr>
          <w:p>
            <w:r>
              <w:rPr>
                <w:rFonts w:ascii="Calibri" w:hAnsi="Calibri"/>
                <w:b/>
                <w:color w:val="1A1A2E"/>
                <w:sz w:val="52"/>
              </w:rPr>
              <w:t>严正阳</w:t>
            </w:r>
          </w:p>
          <w:p>
            <w:pPr>
              <w:spacing w:before="40" w:after="120"/>
            </w:pPr>
            <w:r>
              <w:rPr>
                <w:rFonts w:ascii="Calibri" w:hAnsi="Calibri"/>
                <w:color w:val="2E74B5"/>
                <w:sz w:val="26"/>
              </w:rPr>
              <w:t>AI Agent 开发工程师</w:t>
            </w:r>
          </w:p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zhengyang1013@126.com</w:t>
            </w:r>
          </w:p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173-9337-3476</w:t>
            </w:r>
          </w:p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github.com/suuny-ab</w:t>
            </w:r>
          </w:p>
          <w:p>
            <w:r>
              <w:rPr>
                <w:rFonts w:ascii="Calibri" w:hAnsi="Calibri"/>
                <w:sz w:val="19"/>
              </w:rPr>
              <w:t>github.com/suuny-ab/deepresearch</w:t>
            </w:r>
          </w:p>
        </w:tc>
        <w:tc>
          <w:tcPr>
            <w:tcW w:type="dxa" w:w="3168"/>
            <w:vAlign w:val="center"/>
          </w:tcPr>
          <w:p>
            <w:pPr>
              <w:spacing w:before="12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88720" cy="15849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584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专业概要</w:t>
      </w:r>
    </w:p>
    <w:p>
      <w:r>
        <w:t>从零构建多架构 AI 深度研究系统（Pipeline / Multi-Agent / ReAct V2），两阶段证据流水线实现 100% 引用合规率与 84/100 平均评估得分。在企业级 AI 数据平台主导 LLM 集成与 Agent 工程化落地，具备全链路后端开发能力。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技术能力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AI Agent: </w:t>
      </w:r>
      <w:r>
        <w:rPr>
          <w:rFonts w:ascii="Calibri" w:hAnsi="Calibri"/>
          <w:sz w:val="20"/>
        </w:rPr>
        <w:t>LangGraph StateGraph、多节点编排、条件路由、并行执行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LLM 应用: </w:t>
      </w:r>
      <w:r>
        <w:rPr>
          <w:rFonts w:ascii="Calibri" w:hAnsi="Calibri"/>
          <w:sz w:val="20"/>
        </w:rPr>
        <w:t>OpenAI SDK/DeepSeek API、Prompt Engineering、Function Calling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后端开发: </w:t>
      </w:r>
      <w:r>
        <w:rPr>
          <w:rFonts w:ascii="Calibri" w:hAnsi="Calibri"/>
          <w:sz w:val="20"/>
        </w:rPr>
        <w:t>Python 3.11+、FastAPI、PostgreSQL、Redis、Pydantic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搜索与检索: </w:t>
      </w:r>
      <w:r>
        <w:rPr>
          <w:rFonts w:ascii="Calibri" w:hAnsi="Calibri"/>
          <w:sz w:val="20"/>
        </w:rPr>
        <w:t>Tavily API、向量检索(Qdrant)、Jina AI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工程化: </w:t>
      </w:r>
      <w:r>
        <w:rPr>
          <w:rFonts w:ascii="Calibri" w:hAnsi="Calibri"/>
          <w:sz w:val="20"/>
        </w:rPr>
        <w:t>pytest、Git、LangSmith 链路追踪、TTL 缓存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项目经历</w:t>
      </w:r>
    </w:p>
    <w:p>
      <w:pPr>
        <w:spacing w:before="80" w:after="40"/>
      </w:pPr>
      <w:r>
        <w:rPr>
          <w:rFonts w:ascii="Calibri" w:hAnsi="Calibri"/>
          <w:b/>
          <w:sz w:val="22"/>
        </w:rPr>
        <w:t>Deep Research Agent — 多架构 AI 深度研究系统</w:t>
      </w:r>
    </w:p>
    <w:p>
      <w:pPr>
        <w:spacing w:after="60"/>
      </w:pPr>
      <w:r>
        <w:rPr>
          <w:rFonts w:ascii="Calibri" w:hAnsi="Calibri"/>
          <w:color w:val="666666"/>
          <w:sz w:val="19"/>
        </w:rPr>
        <w:t>独立开发 | Python · LangGraph · DeepSeek · Tavily · Pydantic · FastAPI · LangSmith</w:t>
      </w:r>
      <w:r>
        <w:rPr>
          <w:rFonts w:ascii="Calibri" w:hAnsi="Calibri"/>
          <w:sz w:val="19"/>
        </w:rPr>
        <w:t xml:space="preserve">  |  github.com/suuny-ab/deepresearch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实现三种执行架构——Pipeline(确定性)、Multi-Agent(并行+Coordinator)、ReAct V2(反思增强)——共享同一套状态模型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两阶段证据流水线：事实提取与交叉验证独立，解决 LLM 同时做发散和收敛导致的保守输出；后验证阶段用代码检查覆盖 LLM 不可靠性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7 维 [N] 引用校验器：检测缺失来源、裸 URL、重复编号等 7 种失败模式，失败时自动诊断并触发重写，引用格式合规率 100%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FACT 引用真实性验证：Jina AI 爬取来源网页，LLM 逐条核验声明是否被源内容支持，Multi-Agent 验证准确率达 92.3%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15 个零 LLM 确定性评估指标(来源利用率、印证率、引用密度等)，支持架构间 ablation 对比和 LangSmith 全链路可观测性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195 个离线单元测试，Protocol 依赖注入，按流水线阶段追踪 Token 成本，TTL 持久化缓存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工作经历</w:t>
      </w:r>
    </w:p>
    <w:p>
      <w:pPr>
        <w:spacing w:before="80" w:after="20"/>
      </w:pPr>
      <w:r>
        <w:rPr>
          <w:rFonts w:ascii="Calibri" w:hAnsi="Calibri"/>
          <w:b/>
          <w:sz w:val="22"/>
        </w:rPr>
        <w:t>AskTable(察言观数) | 后端开发</w:t>
      </w:r>
    </w:p>
    <w:p>
      <w:pPr>
        <w:spacing w:before="0" w:after="60"/>
      </w:pPr>
      <w:r>
        <w:rPr>
          <w:rFonts w:ascii="Calibri" w:hAnsi="Calibri"/>
          <w:color w:val="666666"/>
          <w:sz w:val="19"/>
        </w:rPr>
        <w:t>2024.07 - 2025.01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主导企业级 AI 数据智能平台核心研发，基于多供应商 LLM Agent 架构实现 NL2SQL、自动化数据分析与智能可视化，覆盖销售、运营等多业务场景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设计并落地统一的多供应商 LLM 集成层（DeepSeek / GPT / Claude / Qwen），规范工具调用协议与对话状态管理，大幅降低新供应商接入成本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独立设计并实现 Agent 取消机制、任务并发控制、SSE 流式推送等生产级工程模块，保障平台 7×24 服务稳定性与响应性能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教育背景</w:t>
      </w:r>
    </w:p>
    <w:p>
      <w:pPr>
        <w:spacing w:before="80"/>
      </w:pPr>
      <w:r>
        <w:rPr>
          <w:rFonts w:ascii="Calibri" w:hAnsi="Calibri"/>
          <w:b/>
          <w:sz w:val="22"/>
        </w:rPr>
        <w:t>东南大学</w:t>
      </w:r>
      <w:r>
        <w:rPr>
          <w:rFonts w:ascii="Calibri" w:hAnsi="Calibri"/>
          <w:sz w:val="21"/>
        </w:rPr>
        <w:t xml:space="preserve"> | 人工智能 | 本科 | 2025 年毕业 | 主修：机器学习、自然语言处理、数据结构与算法</w:t>
      </w:r>
    </w:p>
    <w:sectPr w:rsidR="00FC693F" w:rsidRPr="0006063C" w:rsidSect="00034616">
      <w:pgSz w:w="12240" w:h="15840"/>
      <w:pgMar w:top="1152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