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Title"/>
      </w:pPr>
      <w:r>
        <w:t>현대인의 생활 행태와 웰빙 수준에 관한 실태조사 보고서</w:t>
      </w:r>
    </w:p>
    <w:p>
      <w:r>
        <w:br w:type="page"/>
      </w:r>
    </w:p>
    <w:p>
      <w:pPr>
        <w:pStyle w:val="Heading1"/>
      </w:pPr>
      <w:r>
        <w:t>목차</w:t>
      </w:r>
    </w:p>
    <w:p>
      <w:r>
        <w:br/>
      </w:r>
    </w:p>
    <w:p>
      <w:r>
        <w:rPr>
          <w:rFonts w:ascii="맑은 고딕" w:hAnsi="맑은 고딕"/>
          <w:sz w:val="22"/>
        </w:rPr>
        <w:t>[1] 설문 주제 및 조사 개요</w:t>
      </w:r>
    </w:p>
    <w:p>
      <w:r>
        <w:rPr>
          <w:rFonts w:ascii="맑은 고딕" w:hAnsi="맑은 고딕"/>
          <w:sz w:val="22"/>
        </w:rPr>
        <w:t>[2] 단일 질문 분석</w:t>
      </w:r>
    </w:p>
    <w:p>
      <w:r>
        <w:rPr>
          <w:rFonts w:ascii="맑은 고딕" w:hAnsi="맑은 고딕"/>
          <w:sz w:val="22"/>
        </w:rPr>
        <w:t>[3] 교차 분석</w:t>
      </w:r>
    </w:p>
    <w:p>
      <w:r>
        <w:br w:type="page"/>
      </w:r>
    </w:p>
    <w:p>
      <w:pPr>
        <w:pStyle w:val="Heading1"/>
      </w:pPr>
      <w:r>
        <w:t>[1] 설문 주제 및 조사 개요</w:t>
      </w:r>
    </w:p>
    <w:p>
      <w:pPr>
        <w:pStyle w:val="Heading2"/>
      </w:pPr>
      <w:r>
        <w:t>1. 조사목적</w:t>
      </w:r>
    </w:p>
    <w:p>
      <w:r>
        <w:rPr>
          <w:rFonts w:ascii="맑은 고딕" w:hAnsi="맑은 고딕"/>
          <w:sz w:val="22"/>
        </w:rPr>
        <w:t>• 본 조사는 사람들의 일상생활 속 건강 습관, 사회적 상호작용, 스마트폰 활용 방식, 소비 행동, 수면 패턴, 정서 상태 등을 다각적으로 파악하여, 현대인들의 생활 전반과 웰빙 간의 상관관계를 분석한다.</w:t>
      </w:r>
    </w:p>
    <w:p>
      <w:pPr>
        <w:pStyle w:val="Heading2"/>
      </w:pPr>
      <w:r>
        <w:t>2. 조사설계 및 방법</w:t>
      </w:r>
    </w:p>
    <w:p>
      <w:r>
        <w:rPr>
          <w:rFonts w:ascii="맑은 고딕" w:hAnsi="맑은 고딕"/>
          <w:sz w:val="22"/>
        </w:rPr>
        <w:t>• 조사대상 : 다양한 연령대의 한국인들</w:t>
      </w:r>
    </w:p>
    <w:p>
      <w:r>
        <w:rPr>
          <w:rFonts w:ascii="맑은 고딕" w:hAnsi="맑은 고딕"/>
          <w:sz w:val="22"/>
        </w:rPr>
        <w:t>• 조사기간 : 2024년 11월 1일 ~ 2025년 05월 02일</w:t>
      </w:r>
    </w:p>
    <w:p>
      <w:r>
        <w:rPr>
          <w:rFonts w:ascii="맑은 고딕" w:hAnsi="맑은 고딕"/>
          <w:sz w:val="22"/>
        </w:rPr>
        <w:t>• 조사방법 : 구글 폼(Google Forms)을 활용한 온라인 설문조사</w:t>
      </w:r>
    </w:p>
    <w:p>
      <w:r>
        <w:rPr>
          <w:rFonts w:ascii="맑은 고딕" w:hAnsi="맑은 고딕"/>
          <w:sz w:val="22"/>
        </w:rPr>
        <w:t xml:space="preserve">• 조사내용 : 스마트폰 사용 용도, 빈도 등과 생활 패턴 관련 47문항 </w:t>
      </w:r>
    </w:p>
    <w:p>
      <w:r>
        <w:rPr>
          <w:rFonts w:ascii="맑은 고딕" w:hAnsi="맑은 고딕"/>
          <w:sz w:val="22"/>
        </w:rPr>
        <w:t>• 참여인원 : 190명</w:t>
      </w:r>
    </w:p>
    <w:p>
      <w:r>
        <w:br w:type="page"/>
      </w:r>
    </w:p>
    <w:p>
      <w:pPr>
        <w:pStyle w:val="Heading1"/>
      </w:pPr>
      <w:r>
        <w:t>[2] 단일 질문 분석</w:t>
      </w:r>
    </w:p>
    <w:p>
      <w:pPr>
        <w:pStyle w:val="Heading2"/>
      </w:pPr>
      <w:r>
        <w:t>질문 1</w:t>
      </w:r>
    </w:p>
    <w:p>
      <w:r>
        <w:drawing>
          <wp:inline distT="0" distB="0" distL="180" distR="180">
            <wp:extent cx="4572000" cy="3429000"/>
            <wp:effectExtent l="0" t="0" r="0" b="0"/>
            <wp:docPr id="102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현재 귀하의 직업은 무엇입니까?에 대한 응답 결과는 회사원 48.4%(84명), 학생 25.2%(42명), 프리랜서/자영업자 15.1%(25명), 전업주부 8.9%(15명), 무직 8.4%(14명), 전문직 3.0%(5명), 기타 2.4%(4명)로 나타났습니다.</w:t>
      </w:r>
    </w:p>
    <w:p>
      <w:r>
        <w:rPr>
          <w:rFonts w:ascii="맑은 고딕" w:hAnsi="맑은 고딕"/>
          <w:sz w:val="22"/>
        </w:rPr>
        <w:t>이는 응답자의 절반 이상이 회사원으로, 직장인 중심의 사회 구조를 반영하고 있음을 시사합니다.</w:t>
      </w:r>
    </w:p>
    <w:p>
      <w:r>
        <w:br/>
      </w:r>
    </w:p>
    <w:p>
      <w:pPr>
        <w:pStyle w:val="Heading2"/>
      </w:pPr>
      <w:r>
        <w:t>질문 2</w:t>
      </w:r>
    </w:p>
    <w:p>
      <w:r>
        <w:drawing>
          <wp:inline distT="0" distB="0" distL="180" distR="180">
            <wp:extent cx="4572000" cy="3429000"/>
            <wp:effectExtent l="0" t="0" r="0" b="0"/>
            <wp:docPr id="102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주로 일하거나 공부하는 시간대는 오전 9시–정오 118명(36.5%), 정오–오후 5시 122명(37.5%), 오후 5시–오후 9시 67명(20.5%), 오후 9시 이후 33명(10.0%), 오전 6시–9시 22명(6.5%), 불규칙 / 교대 근무 20명(6.0%)으로 나타났습니다.</w:t>
      </w:r>
    </w:p>
    <w:p>
      <w:r>
        <w:rPr>
          <w:rFonts w:ascii="맑은 고딕" w:hAnsi="맑은 고딕"/>
          <w:sz w:val="22"/>
        </w:rPr>
        <w:t>이는 대다수의 응답자가 주로 낮 시간대에 활동하고 있음을 보여주며, 특히 정오–오후 5시와 오전 9시–정오 시간대에 집중되고 있음을 시사합니다.</w:t>
      </w:r>
    </w:p>
    <w:p>
      <w:r>
        <w:br/>
      </w:r>
    </w:p>
    <w:p>
      <w:pPr>
        <w:pStyle w:val="Heading2"/>
      </w:pPr>
      <w:r>
        <w:t>질문 3</w:t>
      </w:r>
    </w:p>
    <w:p>
      <w:r>
        <w:drawing>
          <wp:inline distT="0" distB="0" distL="180" distR="180">
            <wp:extent cx="4572000" cy="3429000"/>
            <wp:effectExtent l="0" t="0" r="0" b="0"/>
            <wp:docPr id="102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일반적으로 일하거나 공부하는 요일 수는 주 5–6일 54.5%(113명), 주 3–4일 14.6%(30명), 주 1–2일 12.7%(26명), 주 7일 8.7%(18명), 0일 1.5%(3명)으로 나타났다.</w:t>
      </w:r>
    </w:p>
    <w:p>
      <w:r>
        <w:rPr>
          <w:rFonts w:ascii="맑은 고딕" w:hAnsi="맑은 고딕"/>
          <w:sz w:val="22"/>
        </w:rPr>
        <w:t>이는 대다수의 응답자가 주 5–6일 활동을 하고 있음을 보여주며, 일이나 공부에 대한 높은 참여도를 시사합니다.</w:t>
      </w:r>
    </w:p>
    <w:p>
      <w:r>
        <w:br/>
      </w:r>
    </w:p>
    <w:p>
      <w:pPr>
        <w:pStyle w:val="Heading2"/>
      </w:pPr>
      <w:r>
        <w:t>질문 4</w:t>
      </w:r>
    </w:p>
    <w:p>
      <w:r>
        <w:drawing>
          <wp:inline distT="0" distB="0" distL="180" distR="180">
            <wp:extent cx="4572000" cy="3429000"/>
            <wp:effectExtent l="0" t="0" r="0" b="0"/>
            <wp:docPr id="102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일 또는 학업으로 인해 정신적으로 지친다고 느끼는 빈도는 전혀 없음 11%(11명), 월 1–2회 26.6%(51명), 월 3–4회 26.3%(50명), 월 5–6회 16.5%(33명), 거의 매일 18.1%(45명)으로 나타났다.</w:t>
      </w:r>
    </w:p>
    <w:p>
      <w:r>
        <w:rPr>
          <w:rFonts w:ascii="맑은 고딕" w:hAnsi="맑은 고딕"/>
          <w:sz w:val="22"/>
        </w:rPr>
        <w:t>이는 응답자의 절반 이상이 월 1회 이상 정신적 피로를 느끼고 있음을 보여주며, 직장이나 학업 환경에서의 스트레스 관리 필요성을 시사합니다.</w:t>
      </w:r>
    </w:p>
    <w:p>
      <w:r>
        <w:br/>
      </w:r>
    </w:p>
    <w:p>
      <w:pPr>
        <w:pStyle w:val="Heading2"/>
      </w:pPr>
      <w:r>
        <w:t>질문 5</w:t>
      </w:r>
    </w:p>
    <w:p>
      <w:r>
        <w:drawing>
          <wp:inline distT="0" distB="0" distL="180" distR="180">
            <wp:extent cx="4572000" cy="3429000"/>
            <wp:effectExtent l="0" t="0" r="0" b="0"/>
            <wp:docPr id="102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신체 활동 빈도는 전혀 없음 10.4%(17명), 주 1–2회 41.0%(66명), 주 3–4회 39.6%(63명), 주 5–6회 15.5%(25명), 매일 11.8%(19명)으로 나타났습니다.</w:t>
      </w:r>
    </w:p>
    <w:p>
      <w:r>
        <w:rPr>
          <w:rFonts w:ascii="맑은 고딕" w:hAnsi="맑은 고딕"/>
          <w:sz w:val="22"/>
        </w:rPr>
        <w:t>이는 응답자의 절반 이상이 주 1–4회 신체 활동을 하고 있으며, 전반적으로 신체 활동이 활발한 편임을 시사합니다.</w:t>
      </w:r>
    </w:p>
    <w:p>
      <w:r>
        <w:br/>
      </w:r>
    </w:p>
    <w:p>
      <w:pPr>
        <w:pStyle w:val="Heading2"/>
      </w:pPr>
      <w:r>
        <w:t>질문 6</w:t>
      </w:r>
    </w:p>
    <w:p>
      <w:r>
        <w:drawing>
          <wp:inline distT="0" distB="0" distL="180" distR="180">
            <wp:extent cx="4572000" cy="3429000"/>
            <wp:effectExtent l="0" t="0" r="0" b="0"/>
            <wp:docPr id="103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주로 하는 운동 종류는 걷기 146명(89.6%), 헬스장 운동 43명(26.4%), 달리기 40명(24.7%), 요가/필라테스 13명(8.0%), 구기 및 단체 운동 7명(4.3%), 수영 4명(2.5%), 자전거 1명(0.6%), 기타 1명(0.6%), 운동을 하지 않는다고 응답한 비율은 1명(0.6%)입니다.</w:t>
      </w:r>
    </w:p>
    <w:p>
      <w:r>
        <w:rPr>
          <w:rFonts w:ascii="맑은 고딕" w:hAnsi="맑은 고딕"/>
          <w:sz w:val="22"/>
        </w:rPr>
        <w:t>이는 걷기가 가장 선호되는 운동으로, 많은 사람들이 간편하게 실천할 수 있는 운동을 선호하고 있음을 나타냅니다.</w:t>
      </w:r>
    </w:p>
    <w:p>
      <w:r>
        <w:br/>
      </w:r>
    </w:p>
    <w:p>
      <w:pPr>
        <w:pStyle w:val="Heading2"/>
      </w:pPr>
      <w:r>
        <w:t>질문 7</w:t>
      </w:r>
    </w:p>
    <w:p>
      <w:r>
        <w:drawing>
          <wp:inline distT="0" distB="0" distL="180" distR="180">
            <wp:extent cx="4572000" cy="3429000"/>
            <wp:effectExtent l="0" t="0" r="0" b="0"/>
            <wp:docPr id="103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전반적인 생활 습관에 대한 건강 인식은 보통이다 49.2%(82명), 조금 건강하지 않다 34.1%(56명), 전혀 건강하지 않다 13.0%(21명), 건강한 편이다 18.3%(30명), 매우 건강하다 1.2%(1명)로 나타났다.</w:t>
      </w:r>
    </w:p>
    <w:p>
      <w:r>
        <w:rPr>
          <w:rFonts w:ascii="맑은 고딕" w:hAnsi="맑은 고딕"/>
          <w:sz w:val="22"/>
        </w:rPr>
        <w:t>이는 응답자의 절반 이상이 자신의 생활 습관을 보통으로 평가하고 있어, 건강 개선을 위한 노력이 필요할 수 있음을 시사합니다.</w:t>
      </w:r>
    </w:p>
    <w:p>
      <w:r>
        <w:br/>
      </w:r>
    </w:p>
    <w:p>
      <w:pPr>
        <w:pStyle w:val="Heading2"/>
      </w:pPr>
      <w:r>
        <w:t>질문 8</w:t>
      </w:r>
    </w:p>
    <w:p>
      <w:r>
        <w:drawing>
          <wp:inline distT="0" distB="0" distL="180" distR="180">
            <wp:extent cx="4572000" cy="3429000"/>
            <wp:effectExtent l="0" t="0" r="0" b="0"/>
            <wp:docPr id="103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친구 또는 지인과 사회적인 목적으로 만나는 빈도는 전혀 없음 22.4%(37명), 주 1–2회 74.5%(125명), 주 3–4회 12.6%(21명), 주 5–6회 0.6%(1명), 매일 3.6%(6명)으로 나타났습니다.</w:t>
      </w:r>
    </w:p>
    <w:p>
      <w:r>
        <w:rPr>
          <w:rFonts w:ascii="맑은 고딕" w:hAnsi="맑은 고딕"/>
          <w:sz w:val="22"/>
        </w:rPr>
        <w:t>이는 대다수의 응답자가 주 1–2회 만남을 선호하며, 사회적 교류가 활발하게 이루어지고 있음을 시사합니다.</w:t>
      </w:r>
    </w:p>
    <w:p/>
    <w:p>
      <w:r>
        <w:br/>
      </w:r>
    </w:p>
    <w:p>
      <w:pPr>
        <w:pStyle w:val="Heading2"/>
      </w:pPr>
      <w:r>
        <w:t>질문 9</w:t>
      </w:r>
    </w:p>
    <w:p>
      <w:r>
        <w:drawing>
          <wp:inline distT="0" distB="0" distL="180" distR="180">
            <wp:extent cx="4572000" cy="3429000"/>
            <wp:effectExtent l="0" t="0" r="0" b="0"/>
            <wp:docPr id="103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rFonts w:ascii="맑은 고딕" w:hAnsi="맑은 고딕"/>
          <w:sz w:val="22"/>
        </w:rPr>
        <w:t>업무 외 대면 대화(10분 이상)를 하는 빈도는 전혀 없음 10명(5.1%), 주 1–2회 74명(37.4%), 주 3–4회 59명(30.1%), 주 5–6회 23명(11.7%), 매일 24명(12.2%)으로 나타났습니다.</w:t>
      </w:r>
    </w:p>
    <w:p>
      <w:r>
        <w:rPr>
          <w:rFonts w:ascii="맑은 고딕" w:hAnsi="맑은 고딕"/>
          <w:sz w:val="22"/>
        </w:rPr>
        <w:t>전체 응답자의 81.4%가 주 1회 이상 대면 대화를 하고 있어, 업무 외 소통이 활발하게 이루어지고 있음을 시사합니다.</w:t>
      </w:r>
    </w:p>
    <w:p>
      <w:pPr>
        <w:pStyle w:val="Heading2"/>
      </w:pPr>
      <w:r>
        <w:t>질문 10</w:t>
      </w:r>
    </w:p>
    <w:p>
      <w:r>
        <w:drawing>
          <wp:inline distT="0" distB="0" distL="180" distR="180">
            <wp:extent cx="4572000" cy="3429000"/>
            <wp:effectExtent l="0" t="0" r="0" b="0"/>
            <wp:docPr id="103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/>
                    <pic:cNvPicPr>
                      <a:picLocks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그룹 활동 참여 빈도는 '전혀 없음' 61.2%(105명), '주 1–2회' 36.1%(65명), '주 3–4회' 7.5%(14명), '주 5–6회' 1.8%(3명), '매일' 1.8%(3명)으로 나타났습니다.</w:t>
      </w:r>
    </w:p>
    <w:p>
      <w:r>
        <w:rPr>
          <w:rFonts w:ascii="맑은 고딕" w:hAnsi="맑은 고딕"/>
          <w:sz w:val="22"/>
        </w:rPr>
        <w:t>이는 대다수의 응답자가 그룹 활동에 참여하지 않거나 가끔 참여하는 경향이 있음을 보여줍니다.</w:t>
      </w:r>
    </w:p>
    <w:p>
      <w:r>
        <w:br/>
      </w:r>
    </w:p>
    <w:p>
      <w:pPr>
        <w:pStyle w:val="Heading2"/>
      </w:pPr>
      <w:r>
        <w:t>질문 11</w:t>
      </w:r>
    </w:p>
    <w:p>
      <w:r>
        <w:drawing>
          <wp:inline distT="0" distB="0" distL="180" distR="180">
            <wp:extent cx="4572000" cy="3429000"/>
            <wp:effectExtent l="0" t="0" r="0" b="0"/>
            <wp:docPr id="1035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/>
                    <pic:cNvPicPr>
                      <a:picLocks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친구나 가족과 전화 또는 영상 통화를 하는 빈도는 전혀 없음 20.0%(34명), 주 1–2회 43.3%(76명), 주 3–4회 20.0%(34명), 주 5–6회 13.3%(22명), 매일 13.3%(24명)으로 나타났습니다.</w:t>
      </w:r>
    </w:p>
    <w:p>
      <w:r>
        <w:rPr>
          <w:rFonts w:ascii="맑은 고딕" w:hAnsi="맑은 고딕"/>
          <w:sz w:val="22"/>
        </w:rPr>
        <w:t>이는 대다수의 응답자가 주 1–2회 통화를 하며, 가족 및 친구와의 소통이 일상에서 중요한 역할을 하고 있음을 시사합니다.</w:t>
      </w:r>
    </w:p>
    <w:p>
      <w:r>
        <w:br/>
      </w:r>
    </w:p>
    <w:p>
      <w:pPr>
        <w:pStyle w:val="Heading2"/>
      </w:pPr>
      <w:r>
        <w:t>질문 12</w:t>
      </w:r>
    </w:p>
    <w:p>
      <w:r>
        <w:drawing>
          <wp:inline distT="0" distB="0" distL="180" distR="180">
            <wp:extent cx="4572000" cy="3429000"/>
            <wp:effectExtent l="0" t="0" r="0" b="0"/>
            <wp:docPr id="1036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>
                      <a:picLocks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/>
      </w:r>
      <w:r>
        <w:rPr>
          <w:rFonts w:ascii="맑은 고딕" w:hAnsi="맑은 고딕"/>
          <w:sz w:val="22"/>
        </w:rPr>
        <w:t>일주일에 음주를 하는 날은 전혀 없음 99.0%(103명), 매일 1.0%(1명)으로 100% 응답자가 음주를 하지 않거나 매일 음주를 하는 것으로 나타났다.</w:t>
      </w:r>
    </w:p>
    <w:p>
      <w:r>
        <w:rPr>
          <w:rFonts w:ascii="맑은 고딕" w:hAnsi="맑은 고딕"/>
          <w:sz w:val="22"/>
        </w:rPr>
        <w:t>이는 대다수의 응답자가 음주를 하지 않거나 매우 제한적으로 음주를 하고 있음을 시사합니다.</w:t>
      </w:r>
    </w:p>
    <w:p>
      <w:pPr>
        <w:pStyle w:val="Heading2"/>
      </w:pPr>
      <w:r>
        <w:t>질문 13</w:t>
      </w:r>
    </w:p>
    <w:p>
      <w:r>
        <w:drawing>
          <wp:inline distT="0" distB="0" distL="180" distR="180">
            <wp:extent cx="4572000" cy="3429000"/>
            <wp:effectExtent l="0" t="0" r="0" b="0"/>
            <wp:docPr id="1037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/>
                    <pic:cNvPicPr>
                      <a:picLocks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타인과 함께 식사하는 횟수는 전혀 없음 9.5%(16명), 주 1–2회 41.5%(73명), 주 3–4회 20.5%(36명), 주 5–6회 19.5%(34명), 매일 18.5%(31명)으로 나타났다.</w:t>
      </w:r>
    </w:p>
    <w:p>
      <w:r>
        <w:rPr>
          <w:rFonts w:ascii="맑은 고딕" w:hAnsi="맑은 고딕"/>
          <w:sz w:val="22"/>
        </w:rPr>
        <w:t>이는 대다수의 응답자가 주 1–2회 식사를 함께 하는 경향이 있음을 보여주며, 사회적 교류의 중요성이 여전히 높다는 것을 시사합니다.</w:t>
      </w:r>
    </w:p>
    <w:p>
      <w:r>
        <w:br/>
      </w:r>
    </w:p>
    <w:p>
      <w:pPr>
        <w:pStyle w:val="Heading2"/>
      </w:pPr>
      <w:r>
        <w:t>질문 14</w:t>
      </w:r>
    </w:p>
    <w:p>
      <w:r>
        <w:drawing>
          <wp:inline distT="0" distB="0" distL="180" distR="180">
            <wp:extent cx="4572000" cy="3429000"/>
            <wp:effectExtent l="0" t="0" r="0" b="0"/>
            <wp:docPr id="1038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/>
                    <pic:cNvPicPr>
                      <a:picLocks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혼자 식사하는 빈도는 전혀 없음 20명(10.3%), 주 1–2회 72명(37.0%), 주 3–4회 35명(18.0%), 주 5–6회 40명(20.5%), 매일 23명(11.8%)으로 나타났습니다.</w:t>
      </w:r>
    </w:p>
    <w:p>
      <w:r>
        <w:rPr>
          <w:rFonts w:ascii="맑은 고딕" w:hAnsi="맑은 고딕"/>
          <w:sz w:val="22"/>
        </w:rPr>
        <w:t>이는 대다수의 응답자가 주 1–2회 혼자 식사하는 경향이 있음을 보여주며, 혼자 식사하는 문화가 일반화되고 있음을 시사합니다.</w:t>
      </w:r>
    </w:p>
    <w:p>
      <w:r>
        <w:br/>
      </w:r>
    </w:p>
    <w:p>
      <w:pPr>
        <w:pStyle w:val="Heading2"/>
      </w:pPr>
      <w:r>
        <w:t>질문 15</w:t>
      </w:r>
    </w:p>
    <w:p>
      <w:r>
        <w:drawing>
          <wp:inline distT="0" distB="0" distL="180" distR="180">
            <wp:extent cx="4572000" cy="3429000"/>
            <wp:effectExtent l="0" t="0" r="0" b="0"/>
            <wp:docPr id="1039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배달이나 외식 대신 집에서 조리한 식사를 하는 빈도는 전혀 없음 15%(15명), 주 1–2회 70%(70명), 주 3–4회 59%(59명), 주 5–6회 25%(25명), 매일 20%(20명)으로 나타났습니다.</w:t>
      </w:r>
    </w:p>
    <w:p>
      <w:r>
        <w:rPr>
          <w:rFonts w:ascii="맑은 고딕" w:hAnsi="맑은 고딕"/>
          <w:sz w:val="22"/>
        </w:rPr>
        <w:t>이는 대다수의 응답자가 집에서 조리한 식사를 주 1–2회 이상 하고 있음을 보여주며, 건강과 경제성을 고려한 식사 선택이 증가하고 있음을 시사합니다.</w:t>
      </w:r>
    </w:p>
    <w:p>
      <w:r>
        <w:br/>
      </w:r>
    </w:p>
    <w:p>
      <w:pPr>
        <w:pStyle w:val="Heading2"/>
      </w:pPr>
      <w:r>
        <w:t>질문 16</w:t>
      </w:r>
    </w:p>
    <w:p>
      <w:r>
        <w:drawing>
          <wp:inline distT="0" distB="0" distL="180" distR="180">
            <wp:extent cx="4572000" cy="3429000"/>
            <wp:effectExtent l="0" t="0" r="0" b="0"/>
            <wp:docPr id="1040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본인의 식습관에 대한 건강도 평가 결과는 전혀 건강하지 않다 17명(6.5%), 조금 건강하지 않다 52명(20.1%), 보통이다 82명(31.8%), 건강한 편이다 33명(12.8%), 매우 건강하다 6명(2.3%)로 나타났습니다.</w:t>
      </w:r>
    </w:p>
    <w:p>
      <w:r>
        <w:rPr>
          <w:rFonts w:ascii="맑은 고딕" w:hAnsi="맑은 고딕"/>
          <w:sz w:val="22"/>
        </w:rPr>
        <w:t>전체 응답자의 58.9%가 자신의 식습관을 보통 이상으로 평가하고 있어, 대체로 긍정적인 인식을 가지고 있음을 시사합니다.</w:t>
      </w:r>
    </w:p>
    <w:p>
      <w:r>
        <w:br/>
      </w:r>
    </w:p>
    <w:p>
      <w:pPr>
        <w:pStyle w:val="Heading2"/>
      </w:pPr>
      <w:r>
        <w:t>질문 17</w:t>
      </w:r>
    </w:p>
    <w:p>
      <w:r>
        <w:drawing>
          <wp:inline distT="0" distB="0" distL="180" distR="180">
            <wp:extent cx="4572000" cy="3429000"/>
            <wp:effectExtent l="0" t="0" r="0" b="0"/>
            <wp:docPr id="1041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스마트폰 사용 시간대는 오후 (12시–18시)가 90명(54.3%)으로 가장 많았고, 심야 (0시–6시)가 40명(24.2%), 옵션 3가 43명(25.9%), 오전 (6시–12시)가 15명(9.1%)으로 나타났다.</w:t>
      </w:r>
    </w:p>
    <w:p>
      <w:r>
        <w:rPr>
          <w:rFonts w:ascii="맑은 고딕" w:hAnsi="맑은 고딕"/>
          <w:sz w:val="22"/>
        </w:rPr>
        <w:t>이는 사용자들이 주로 낮 시간대에 스마트폰을 많이 사용하고 있음을 보여줍니다.</w:t>
      </w:r>
    </w:p>
    <w:p>
      <w:r>
        <w:br/>
      </w:r>
    </w:p>
    <w:p>
      <w:pPr>
        <w:pStyle w:val="Heading2"/>
      </w:pPr>
      <w:r>
        <w:t>질문 18</w:t>
      </w:r>
    </w:p>
    <w:p>
      <w:r>
        <w:drawing>
          <wp:inline distT="0" distB="0" distL="180" distR="180">
            <wp:extent cx="4572000" cy="3429000"/>
            <wp:effectExtent l="0" t="0" r="0" b="0"/>
            <wp:docPr id="1042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자정 이후(0시–6시)에 스마트폰을 사용하는 빈도는 전혀 없음 10.4%(17명), 드물게 28.8%(47명), 가끔 26.4%(43명), 자주 39.6%(65명), 항상 10.4%(17명)으로 나타났다.</w:t>
      </w:r>
    </w:p>
    <w:p>
      <w:r>
        <w:rPr>
          <w:rFonts w:ascii="맑은 고딕" w:hAnsi="맑은 고딕"/>
          <w:sz w:val="22"/>
        </w:rPr>
        <w:t>이는 응답자의 약 66%가 자주 또는 가끔 스마트폰을 사용하는 것으로, 야간 시간대에도 스마트폰 사용이 상당히 일반적임을 시사합니다.</w:t>
      </w:r>
    </w:p>
    <w:p>
      <w:r>
        <w:br/>
      </w:r>
    </w:p>
    <w:p>
      <w:pPr>
        <w:pStyle w:val="Heading2"/>
      </w:pPr>
      <w:r>
        <w:t>질문 19</w:t>
      </w:r>
    </w:p>
    <w:p>
      <w:r>
        <w:drawing>
          <wp:inline distT="0" distB="0" distL="180" distR="180">
            <wp:extent cx="4572000" cy="3429000"/>
            <wp:effectExtent l="0" t="0" r="0" b="0"/>
            <wp:docPr id="1043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하루 평균 스마트폰 사용 시간은 1시간 미만 4명(3.3%), 1–3시간 47명(38.8%), 3–5시간 72명(60%), 5–7시간 36명(30%), 7시간 이상 31명(25.8%)으로 나타났다.</w:t>
      </w:r>
    </w:p>
    <w:p>
      <w:r>
        <w:rPr>
          <w:rFonts w:ascii="맑은 고딕" w:hAnsi="맑은 고딕"/>
          <w:sz w:val="22"/>
        </w:rPr>
        <w:t>전체 응답자의 60%가 하루 3시간 이상 스마트폰을 사용하고 있어, 스마트폰 사용 시간이 상당히 높은 편임을 시사합니다.</w:t>
      </w:r>
    </w:p>
    <w:p>
      <w:r>
        <w:br/>
      </w:r>
    </w:p>
    <w:p>
      <w:pPr>
        <w:pStyle w:val="Heading2"/>
      </w:pPr>
      <w:r>
        <w:t>질문 20</w:t>
      </w:r>
    </w:p>
    <w:p>
      <w:r>
        <w:drawing>
          <wp:inline distT="0" distB="0" distL="180" distR="180">
            <wp:extent cx="4572000" cy="3429000"/>
            <wp:effectExtent l="0" t="0" r="0" b="0"/>
            <wp:docPr id="1044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본인의 스마트폰 사용이 잘 통제되고 있다고 느끼는 응답은 전혀 그렇지 않다 10.8%(27명), 거의 그렇지 않다 21.6%(52명), 보통이다 32.4%(75명), 대체로 그렇다 14.4%(33명), 매우 그렇다 1.2%(3명)로 나타났다.</w:t>
      </w:r>
    </w:p>
    <w:p>
      <w:r>
        <w:rPr>
          <w:rFonts w:ascii="맑은 고딕" w:hAnsi="맑은 고딕"/>
          <w:sz w:val="22"/>
        </w:rPr>
        <w:t>전체 응답자의 63.6%가 스마트폰 사용 통제에 대해 부정적인 인식을 가지고 있음을 보여줍니다.</w:t>
      </w:r>
    </w:p>
    <w:p>
      <w:r>
        <w:rPr>
          <w:rFonts w:ascii="맑은 고딕" w:hAnsi="맑은 고딕"/>
          <w:sz w:val="22"/>
        </w:rPr>
        <w:t>이는 많은 사람들이 스마트폰 사용에 대한 자율성을 느끼지 못하고 있음을 시사합니다.</w:t>
      </w:r>
    </w:p>
    <w:p>
      <w:r>
        <w:br/>
      </w:r>
    </w:p>
    <w:p>
      <w:pPr>
        <w:pStyle w:val="Heading2"/>
      </w:pPr>
      <w:r>
        <w:t>질문 21</w:t>
      </w:r>
    </w:p>
    <w:p>
      <w:r>
        <w:drawing>
          <wp:inline distT="0" distB="0" distL="180" distR="180">
            <wp:extent cx="4572000" cy="3429000"/>
            <wp:effectExtent l="0" t="0" r="0" b="0"/>
            <wp:docPr id="1045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의도적으로 스마트폰을 사용하지 않으려 하는 시간대는 업무/수업 중 98%(158명), 잠들기 전 58%(93명), 심야 시간 60%(96명), 기상 직후 31%(49명), 휴식 시간 13%(21명), 식사 중 52%(83명), 이동 중 32%(51명)으로 나타났습니다.</w:t>
      </w:r>
    </w:p>
    <w:p>
      <w:r>
        <w:rPr>
          <w:rFonts w:ascii="맑은 고딕" w:hAnsi="맑은 고딕"/>
          <w:sz w:val="22"/>
        </w:rPr>
        <w:t>이는 대부분의 응답자가 업무와 수업 중에 스마트폰 사용을 자제하고 있음을 보여주며, 스마트폰 사용을 줄이려는 의식이 강하게 작용하고 있음을 시사합니다.</w:t>
      </w:r>
    </w:p>
    <w:p>
      <w:r>
        <w:br/>
      </w:r>
    </w:p>
    <w:p>
      <w:pPr>
        <w:pStyle w:val="Heading2"/>
      </w:pPr>
      <w:r>
        <w:t>질문 22</w:t>
      </w:r>
    </w:p>
    <w:p>
      <w:r>
        <w:drawing>
          <wp:inline distT="0" distB="0" distL="180" distR="180">
            <wp:extent cx="4572000" cy="3429000"/>
            <wp:effectExtent l="0" t="0" r="0" b="0"/>
            <wp:docPr id="1046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스마트폰 사용을 줄이려 가장 많이 노력하는 시간대는 심야 90%(90명), 저녁 33%(33명), 오후 26%(26명), 오전 20%(20명), 특별한 시간대 없음 52%(52명)으로 나타났다.</w:t>
      </w:r>
    </w:p>
    <w:p>
      <w:r>
        <w:rPr>
          <w:rFonts w:ascii="맑은 고딕" w:hAnsi="맑은 고딕"/>
          <w:sz w:val="22"/>
        </w:rPr>
        <w:t>이는 많은 사람들이 심야 시간에 스마트폰 사용을 줄이려는 노력을 집중하고 있음을 보여줍니다.</w:t>
      </w:r>
    </w:p>
    <w:p>
      <w:r>
        <w:br/>
      </w:r>
    </w:p>
    <w:p>
      <w:pPr>
        <w:pStyle w:val="Heading2"/>
      </w:pPr>
      <w:r>
        <w:t>질문 23</w:t>
      </w:r>
    </w:p>
    <w:p>
      <w:r>
        <w:drawing>
          <wp:inline distT="0" distB="0" distL="180" distR="180">
            <wp:extent cx="4572000" cy="3429000"/>
            <wp:effectExtent l="0" t="0" r="0" b="0"/>
            <wp:docPr id="1047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본인의 스마트폰 사용 절제 능력에 대한 자신감은 전혀 없다 14%(14명), 거의 없다 44%(44명), 보통이다 89%(89명), 있는 편이다 37%(37명), 매우 있다 5%(5명)로 나타났습니다.</w:t>
      </w:r>
    </w:p>
    <w:p>
      <w:r>
        <w:rPr>
          <w:rFonts w:ascii="맑은 고딕" w:hAnsi="맑은 고딕"/>
          <w:sz w:val="22"/>
        </w:rPr>
        <w:t>전체 응답자의 57%가 스마트폰 사용 절제 능력에 대해 보통 이하로 평가하고 있어, 절제 능력 향상이 필요할 수 있음을 시사합니다.</w:t>
      </w:r>
    </w:p>
    <w:p>
      <w:r>
        <w:br/>
      </w:r>
    </w:p>
    <w:p>
      <w:pPr>
        <w:pStyle w:val="Heading2"/>
      </w:pPr>
      <w:r>
        <w:t>질문 24</w:t>
      </w:r>
    </w:p>
    <w:p>
      <w:r>
        <w:drawing>
          <wp:inline distT="0" distB="0" distL="180" distR="180">
            <wp:extent cx="4572000" cy="3429000"/>
            <wp:effectExtent l="0" t="0" r="0" b="0"/>
            <wp:docPr id="1048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24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사용을 제어하기 가장 어려운 앱에 대한 설문 조사 결과는 다음과 같습니다.</w:t>
      </w:r>
    </w:p>
    <w:p>
      <w:r>
        <w:rPr>
          <w:rFonts w:ascii="맑은 고딕" w:hAnsi="맑은 고딕"/>
          <w:sz w:val="22"/>
        </w:rPr>
        <w:t>영상 스트리밍 앱(유튜브, 넷플릭스 등)이 120명(최다 응답), 소셜미디어(인스타그램, 틱톡, 페이스북 등) 78명, 메신저(카카오톡 등) 57명, 쇼핑 앱 29명, 게임 16명, 뉴스 7명, 네이버카페 2명, 기타 4명으로 나타났습니다.</w:t>
      </w:r>
    </w:p>
    <w:p>
      <w:r>
        <w:rPr>
          <w:rFonts w:ascii="맑은 고딕" w:hAnsi="맑은 고딕"/>
          <w:sz w:val="22"/>
        </w:rPr>
        <w:t>이는 영상 스트리밍 앱이 사용자에게 가장 큰 영향을 미치고 있으며, 콘텐츠 소비가 중독성을 유발할 수 있음을 시사합니다.</w:t>
      </w:r>
    </w:p>
    <w:p>
      <w:r>
        <w:br/>
      </w:r>
    </w:p>
    <w:p>
      <w:pPr>
        <w:pStyle w:val="Heading2"/>
      </w:pPr>
      <w:r>
        <w:t>질문 25</w:t>
      </w:r>
    </w:p>
    <w:p>
      <w:r>
        <w:drawing>
          <wp:inline distT="0" distB="0" distL="180" distR="180">
            <wp:extent cx="4572000" cy="3429000"/>
            <wp:effectExtent l="0" t="0" r="0" b="0"/>
            <wp:docPr id="1049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25"/>
                    <pic:cNvPicPr>
                      <a:picLocks noUn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스마트폰으로 충동구매를 하는 빈도는 전혀 없음 43%(43명), 드물게 76%(76명), 가끔 54%(54명), 자주 14%(14명), 항상 1%(1명)으로 나타났습니다.</w:t>
      </w:r>
    </w:p>
    <w:p>
      <w:r>
        <w:rPr>
          <w:rFonts w:ascii="맑은 고딕" w:hAnsi="맑은 고딕"/>
          <w:sz w:val="22"/>
        </w:rPr>
        <w:t>전체 응답자의 73%가 충동구매를 드물게 또는 가끔 한다고 응답했습니다.</w:t>
      </w:r>
    </w:p>
    <w:p>
      <w:r>
        <w:rPr>
          <w:rFonts w:ascii="맑은 고딕" w:hAnsi="맑은 고딕"/>
          <w:sz w:val="22"/>
        </w:rPr>
        <w:t>이는 많은 사람들이 스마트폰을 통한 구매에 있어 계획성을 유지하고 있음을 시사합니다.</w:t>
      </w:r>
    </w:p>
    <w:p>
      <w:r>
        <w:br/>
      </w:r>
    </w:p>
    <w:p>
      <w:pPr>
        <w:pStyle w:val="Heading2"/>
      </w:pPr>
      <w:r>
        <w:t>질문 26</w:t>
      </w:r>
    </w:p>
    <w:p>
      <w:r>
        <w:drawing>
          <wp:inline distT="0" distB="0" distL="180" distR="180">
            <wp:extent cx="4572000" cy="3429000"/>
            <wp:effectExtent l="0" t="0" r="0" b="0"/>
            <wp:docPr id="1050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/>
                    <pic:cNvPicPr>
                      <a:picLocks noUngr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상품 구매 시 주로 사용하는 앱에 대한 설문 조사 결과는 다음과 같습니다.</w:t>
      </w:r>
    </w:p>
    <w:p>
      <w:r>
        <w:rPr>
          <w:rFonts w:ascii="맑은 고딕" w:hAnsi="맑은 고딕"/>
          <w:sz w:val="22"/>
        </w:rPr>
        <w:t>종합 쇼핑몰 앱이 144명(약 45.5%)으로 가장 많이 선택되었고, 식품 배달/장보기 앱이 55명(약 17.7%)으로 뒤를 이었습니다.</w:t>
      </w:r>
    </w:p>
    <w:p>
      <w:r>
        <w:rPr>
          <w:rFonts w:ascii="맑은 고딕" w:hAnsi="맑은 고딕"/>
          <w:sz w:val="22"/>
        </w:rPr>
        <w:t>가격 비교 앱은 53명(약 17.0%)이 선택했으며, 멤버십/포인트 앱은 30명(약 9.6%), 소셜미디어 쇼핑 기능은 35명(약 11.2%), 브랜드 공식 앱은 29명(약 9.3%), 중고 거래 앱은 31명(약 9.9%), 기타는 1명(약 0.3%)으로 나타났습니다.</w:t>
      </w:r>
    </w:p>
    <w:p>
      <w:r>
        <w:rPr>
          <w:rFonts w:ascii="맑은 고딕" w:hAnsi="맑은 고딕"/>
          <w:sz w:val="22"/>
        </w:rPr>
        <w:t>이는 소비자들이 주로 종합 쇼핑몰 앱을 통해 다양한 상품을 구매하고 있음을 보여주며, 가격 비교와 배달 서비스에 대한 수요도 상당함을 시사합니다.</w:t>
      </w:r>
    </w:p>
    <w:p>
      <w:r>
        <w:br/>
      </w:r>
    </w:p>
    <w:p>
      <w:pPr>
        <w:pStyle w:val="Heading2"/>
      </w:pPr>
      <w:r>
        <w:t>질문 27</w:t>
      </w:r>
    </w:p>
    <w:p>
      <w:r>
        <w:drawing>
          <wp:inline distT="0" distB="0" distL="180" distR="180">
            <wp:extent cx="4572000" cy="3429000"/>
            <wp:effectExtent l="0" t="0" r="0" b="0"/>
            <wp:docPr id="1051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/>
                    <pic:cNvPicPr>
                      <a:picLocks noUngr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ascii="맑은 고딕" w:hAnsi="맑은 고딕"/>
          <w:sz w:val="22"/>
        </w:rPr>
        <w:t>상품을 구매하기 전, 정보를 찾기 위해 스마트폰 앱을 사용하는 빈도는 전혀 없음 3.0%(3명), 드물게 23.0%(23명), 가끔 30.0%(30명), 자주 80.0%(80명), 항상 52.0%(52명)으로 나타났다.</w:t>
      </w:r>
    </w:p>
    <w:p>
      <w:r>
        <w:rPr>
          <w:rFonts w:ascii="맑은 고딕" w:hAnsi="맑은 고딕"/>
          <w:sz w:val="22"/>
        </w:rPr>
        <w:t>이는 대다수의 응답자가 스마트폰 앱을 자주 또는 항상 활용하여 정보를 찾고 있음을 보여주며, 모바일 플랫폼의 중요성이 강조될 수 있음을 시사합니다.</w:t>
      </w:r>
      <w:r>
        <w:br/>
      </w:r>
    </w:p>
    <w:p>
      <w:pPr>
        <w:pStyle w:val="Heading2"/>
      </w:pPr>
      <w:r>
        <w:t>질문 28</w:t>
      </w:r>
    </w:p>
    <w:p>
      <w:r>
        <w:drawing>
          <wp:inline distT="0" distB="0" distL="180" distR="180">
            <wp:extent cx="4572000" cy="3429000"/>
            <wp:effectExtent l="0" t="0" r="0" b="0"/>
            <wp:docPr id="1052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28"/>
                    <pic:cNvPicPr>
                      <a:picLocks noUngr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구매 전 스마트폰으로 주로 검색하는 정보는 사용자 후기 127명(32.5%), 가격 비교 131명(33.5%), 할인/이벤트 정보 102명(26.0%), 사용법 영상/튜토리얼 20명(5.0%), 전문가 또는 리뷰어 평가 42명(10.5%)으로 나타났습니다.</w:t>
      </w:r>
    </w:p>
    <w:p>
      <w:r>
        <w:rPr>
          <w:rFonts w:ascii="맑은 고딕" w:hAnsi="맑은 고딕"/>
          <w:sz w:val="22"/>
        </w:rPr>
        <w:t>이는 소비자들이 가격과 사용자 후기를 중시하며, 할인 정보도 중요하게 여긴다는 점에서 구매 결정에 있어 실질적인 정보의 필요성이 강조되고 있음을 시사합니다.</w:t>
      </w:r>
    </w:p>
    <w:p>
      <w:r>
        <w:br/>
      </w:r>
    </w:p>
    <w:p>
      <w:pPr>
        <w:pStyle w:val="Heading2"/>
      </w:pPr>
      <w:r>
        <w:t>질문 29</w:t>
      </w:r>
    </w:p>
    <w:p>
      <w:r>
        <w:drawing>
          <wp:inline distT="0" distB="0" distL="180" distR="180">
            <wp:extent cx="4572000" cy="3429000"/>
            <wp:effectExtent l="0" t="0" r="0" b="0"/>
            <wp:docPr id="1053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29"/>
                    <pic:cNvPicPr>
                      <a:picLocks noUngr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운동할 때 피트니스나 운동 관련 앱을 사용하는 빈도는 전혀 없음 47.4%(74명), 드물게 37.4%(58명), 가끔 18.8%(30명), 자주 12.9%(21명), 항상 4.5%(7명)으로 나타났습니다.</w:t>
      </w:r>
    </w:p>
    <w:p>
      <w:r>
        <w:rPr>
          <w:rFonts w:ascii="맑은 고딕" w:hAnsi="맑은 고딕"/>
          <w:sz w:val="22"/>
        </w:rPr>
        <w:t>이는 대다수의 응답자가 운동 관련 앱을 자주 사용하지 않음을 보여주며, 앱의 활용도를 높이기 위한 개선이 필요할 수 있음을 시사합니다.</w:t>
      </w:r>
    </w:p>
    <w:p>
      <w:r>
        <w:br/>
      </w:r>
    </w:p>
    <w:p>
      <w:pPr>
        <w:pStyle w:val="Heading2"/>
      </w:pPr>
      <w:r>
        <w:t>질문 30</w:t>
      </w:r>
    </w:p>
    <w:p>
      <w:r>
        <w:drawing>
          <wp:inline distT="0" distB="0" distL="180" distR="180">
            <wp:extent cx="4572000" cy="3429000"/>
            <wp:effectExtent l="0" t="0" r="0" b="0"/>
            <wp:docPr id="1054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30"/>
                    <pic:cNvPicPr>
                      <a:picLocks noUngrp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‘잠시 휴식을 취하세요’ 알림을 받은 경험에 대한 설문 결과는 전혀 없음 62.5%(107명), 드물게 16.7%(28명), 가끔 14.6%(25명), 자주 13.5%(23명), 항상 3.9%(7명)으로 나타났습니다.</w:t>
      </w:r>
    </w:p>
    <w:p>
      <w:r>
        <w:rPr>
          <w:rFonts w:ascii="맑은 고딕" w:hAnsi="맑은 고딕"/>
          <w:sz w:val="22"/>
        </w:rPr>
        <w:t>이는 대다수의 응답자가 알림을 거의 받지 않거나 드물게 받는다는 것을 보여주며, 알림 기능의 활용도가 낮을 가능성을 시사합니다.</w:t>
      </w:r>
    </w:p>
    <w:p>
      <w:r>
        <w:br/>
      </w:r>
    </w:p>
    <w:p>
      <w:pPr>
        <w:pStyle w:val="Heading2"/>
      </w:pPr>
      <w:r>
        <w:t>질문 31</w:t>
      </w:r>
    </w:p>
    <w:p>
      <w:r>
        <w:drawing>
          <wp:inline distT="0" distB="0" distL="180" distR="180">
            <wp:extent cx="4572000" cy="3429000"/>
            <wp:effectExtent l="0" t="0" r="0" b="0"/>
            <wp:docPr id="1055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31"/>
                    <pic:cNvPicPr>
                      <a:picLocks noUngrp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알림 인지 빈도는 전혀 없음 46%(52명), 드물게 26%(30명), 가끔 23%(27명), 자주 32%(36명), 항상 11%(13명)으로 나타났습니다.</w:t>
      </w:r>
    </w:p>
    <w:p>
      <w:r>
        <w:rPr>
          <w:rFonts w:ascii="맑은 고딕" w:hAnsi="맑은 고딕"/>
          <w:sz w:val="22"/>
        </w:rPr>
        <w:t>이는 응답자의 절반 이상이 알림을 인지하지 못하거나 드물게 인지한다는 점에서, 알림의 효과성을 개선할 필요성이 있음을 시사합니다.</w:t>
      </w:r>
    </w:p>
    <w:p>
      <w:r>
        <w:br/>
      </w:r>
    </w:p>
    <w:p>
      <w:pPr>
        <w:pStyle w:val="Heading2"/>
      </w:pPr>
      <w:r>
        <w:t>질문 32</w:t>
      </w:r>
    </w:p>
    <w:p>
      <w:r>
        <w:drawing>
          <wp:inline distT="0" distB="0" distL="180" distR="180">
            <wp:extent cx="4572000" cy="3429000"/>
            <wp:effectExtent l="0" t="0" r="0" b="0"/>
            <wp:docPr id="1056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32"/>
                    <pic:cNvPicPr>
                      <a:picLocks noUngr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알림을 받았을 때의 느낌은 아무 느낌 없었다 60%(60명), 쉬어야겠다고 동기부여가 되었다 38%(38명), 고마웠다 23%(23명), 짜증났다 9%(9명), 놀랐다 11%(11명), 없음 8%(8명), 기타 3%(3명)로 나타났다.</w:t>
      </w:r>
    </w:p>
    <w:p>
      <w:r>
        <w:rPr>
          <w:rFonts w:ascii="맑은 고딕" w:hAnsi="맑은 고딕"/>
          <w:sz w:val="22"/>
        </w:rPr>
        <w:t>이는 대다수의 응답자가 알림에 대해 긍정적인 반응을 보이지 않았음을 시사합니다.</w:t>
      </w:r>
    </w:p>
    <w:p>
      <w:r>
        <w:br/>
      </w:r>
    </w:p>
    <w:p>
      <w:pPr>
        <w:pStyle w:val="Heading2"/>
      </w:pPr>
      <w:r>
        <w:t>질문 33</w:t>
      </w:r>
    </w:p>
    <w:p>
      <w:r>
        <w:drawing>
          <wp:inline distT="0" distB="0" distL="180" distR="180">
            <wp:extent cx="4572000" cy="3429000"/>
            <wp:effectExtent l="0" t="0" r="0" b="0"/>
            <wp:docPr id="1057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33"/>
                    <pic:cNvPicPr>
                      <a:picLocks noUngrp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알림이 행동에 미친 영향에 대한 응답은 전혀 없음 52%(52명), 약간 있음 40%(40명), 어느 정도 있음 29%(29명), 꽤 큰 영향 9%(9명), 매우 큰 영향 3%(3명)으로 나타났습니다.</w:t>
      </w:r>
    </w:p>
    <w:p>
      <w:r>
        <w:rPr>
          <w:rFonts w:ascii="맑은 고딕" w:hAnsi="맑은 고딕"/>
          <w:sz w:val="22"/>
        </w:rPr>
        <w:t>이는 대다수의 응답자가 알림이 행동에 미치는 영향이 미미하다고 느끼고 있음을 시사합니다.</w:t>
      </w:r>
    </w:p>
    <w:p>
      <w:r>
        <w:br/>
      </w:r>
    </w:p>
    <w:p>
      <w:pPr>
        <w:pStyle w:val="Heading2"/>
      </w:pPr>
      <w:r>
        <w:t>질문 34</w:t>
      </w:r>
    </w:p>
    <w:p>
      <w:r>
        <w:drawing>
          <wp:inline distT="0" distB="0" distL="180" distR="180">
            <wp:extent cx="4572000" cy="3429000"/>
            <wp:effectExtent l="0" t="0" r="0" b="0"/>
            <wp:docPr id="1058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34"/>
                    <pic:cNvPicPr>
                      <a:picLocks noUngrp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알림을 무시하고 읽지 않은 경우는 전혀 없음 31%(31명), 드물게 24%(24명), 가끔 31%(31명), 자주 32%(32명), 항상 15%(15명)으로 나타났습니다.</w:t>
      </w:r>
    </w:p>
    <w:p>
      <w:r>
        <w:rPr>
          <w:rFonts w:ascii="맑은 고딕" w:hAnsi="맑은 고딕"/>
          <w:sz w:val="22"/>
        </w:rPr>
        <w:t>이는 응답자의 상당수가 알림을 자주 무시하는 경향이 있음을 시사합니다.</w:t>
      </w:r>
    </w:p>
    <w:p>
      <w:r>
        <w:br/>
      </w:r>
    </w:p>
    <w:p>
      <w:pPr>
        <w:pStyle w:val="Heading2"/>
      </w:pPr>
      <w:r>
        <w:t>질문 35</w:t>
      </w:r>
    </w:p>
    <w:p>
      <w:r>
        <w:drawing>
          <wp:inline distT="0" distB="0" distL="180" distR="180">
            <wp:extent cx="4572000" cy="3429000"/>
            <wp:effectExtent l="0" t="0" r="0" b="0"/>
            <wp:docPr id="1059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35"/>
                    <pic:cNvPicPr>
                      <a:picLocks noUngr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해당 알림이 휴식을 취하도록 유도하는 데 도움이 되었다고 응답한 비율은 전혀 도움 안 됨 21%(21명), 거의 도움 안 됨 19%(19명), 보통 58%(58명), 꽤 도움 됨 28%(28명), 매우 도움 됨 4%(4명)으로 나타났습니다.</w:t>
      </w:r>
    </w:p>
    <w:p>
      <w:r>
        <w:rPr>
          <w:rFonts w:ascii="맑은 고딕" w:hAnsi="맑은 고딕"/>
          <w:sz w:val="22"/>
        </w:rPr>
        <w:t>전체 응답자의 90%가 어느 정도 도움이 된다고 응답한 점은 알림의 효과가 긍정적임을 시사합니다.</w:t>
      </w:r>
    </w:p>
    <w:p>
      <w:r>
        <w:br/>
      </w:r>
    </w:p>
    <w:p>
      <w:pPr>
        <w:pStyle w:val="Heading2"/>
      </w:pPr>
      <w:r>
        <w:t>질문 36</w:t>
      </w:r>
    </w:p>
    <w:p>
      <w:r>
        <w:drawing>
          <wp:inline distT="0" distB="0" distL="180" distR="180">
            <wp:extent cx="4572000" cy="3429000"/>
            <wp:effectExtent l="0" t="0" r="0" b="0"/>
            <wp:docPr id="1060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36"/>
                    <pic:cNvPicPr>
                      <a:picLocks noUngrp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해당 알림이 더 이상 오지 않았음을 전혀 몰랐다고 응답한 비율은 68%(68명), 대충 느꼈다고 응답한 비율은 45%(45명), 명확히 인지했다고 응답한 비율은 18%(18명)입니다.</w:t>
      </w:r>
    </w:p>
    <w:p>
      <w:r>
        <w:rPr>
          <w:rFonts w:ascii="맑은 고딕" w:hAnsi="맑은 고딕"/>
          <w:sz w:val="22"/>
        </w:rPr>
        <w:t>응답자의 68%가 알림의 변화에 대해 전혀 인지하지 못한 것으로 나타났습니다.</w:t>
      </w:r>
    </w:p>
    <w:p>
      <w:r>
        <w:rPr>
          <w:rFonts w:ascii="맑은 고딕" w:hAnsi="맑은 고딕"/>
          <w:sz w:val="22"/>
        </w:rPr>
        <w:t>이는 사용자들이 알림의 변화를 인지하지 못하고 있음을 시사합니다.</w:t>
      </w:r>
    </w:p>
    <w:p>
      <w:r>
        <w:br/>
      </w:r>
    </w:p>
    <w:p>
      <w:pPr>
        <w:pStyle w:val="Heading2"/>
      </w:pPr>
      <w:r>
        <w:t>질문 37</w:t>
      </w:r>
    </w:p>
    <w:p>
      <w:r>
        <w:drawing>
          <wp:inline distT="0" distB="0" distL="180" distR="180">
            <wp:extent cx="4572000" cy="3429000"/>
            <wp:effectExtent l="0" t="0" r="0" b="0"/>
            <wp:docPr id="1061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37"/>
                    <pic:cNvPicPr>
                      <a:picLocks noUngrp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삶에 불만족을 느꼈다는 응답은 전혀 없음 48%(48명), 드물게 49%(49명), 가끔 59%(59명), 자주 24%(24명), 항상 9%(9명)으로 나타났습니다.</w:t>
      </w:r>
    </w:p>
    <w:p>
      <w:r>
        <w:rPr>
          <w:rFonts w:ascii="맑은 고딕" w:hAnsi="맑은 고딕"/>
          <w:sz w:val="22"/>
        </w:rPr>
        <w:t>전체 응답자의 86%가 불만족을 느끼지 않거나 드물게 느끼는 것으로, 이는 대다수의 사람들이 삶에 대한 전반적인 만족감을 가지고 있음을 시사합니다.</w:t>
      </w:r>
    </w:p>
    <w:p>
      <w:r>
        <w:br/>
      </w:r>
    </w:p>
    <w:p>
      <w:pPr>
        <w:pStyle w:val="Heading2"/>
      </w:pPr>
      <w:r>
        <w:t>질문 38</w:t>
      </w:r>
    </w:p>
    <w:p>
      <w:r>
        <w:drawing>
          <wp:inline distT="0" distB="0" distL="180" distR="180">
            <wp:extent cx="4572000" cy="3429000"/>
            <wp:effectExtent l="0" t="0" r="0" b="0"/>
            <wp:docPr id="1062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38"/>
                    <pic:cNvPicPr>
                      <a:picLocks noUngrp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행복하다고 느꼈다는 응답은 전혀 없음 9%(9명), 드물게 26%(26명), 가끔 77%(77명), 자주 61%(61명), 항상 17%(17명)으로 나타났습니다.</w:t>
      </w:r>
    </w:p>
    <w:p>
      <w:r>
        <w:rPr>
          <w:rFonts w:ascii="맑은 고딕" w:hAnsi="맑은 고딕"/>
          <w:sz w:val="22"/>
        </w:rPr>
        <w:t>전체 응답자의 55%가 자주 또는 항상 행복하다고 느끼고 있어, 대다수의 사람들이 긍정적인 감정을 경험하고 있음을 시사합니다.</w:t>
      </w:r>
    </w:p>
    <w:p>
      <w:r>
        <w:br/>
      </w:r>
    </w:p>
    <w:p>
      <w:pPr>
        <w:pStyle w:val="Heading2"/>
      </w:pPr>
      <w:r>
        <w:t>질문 39</w:t>
      </w:r>
    </w:p>
    <w:p>
      <w:r>
        <w:drawing>
          <wp:inline distT="0" distB="0" distL="180" distR="180">
            <wp:extent cx="4572000" cy="3429000"/>
            <wp:effectExtent l="0" t="0" r="0" b="0"/>
            <wp:docPr id="1063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39"/>
                    <pic:cNvPicPr>
                      <a:picLocks noUngrp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'우울하거나 침울한 기분이었다'는 질문에 대한 설문 조사 결과는 전혀 없음 39%(39명), 드물게 60%(60명), 가끔 57%(57명), 자주 25%(25명), 항상 9%(9명)으로 나타났습니다.</w:t>
      </w:r>
    </w:p>
    <w:p>
      <w:r>
        <w:rPr>
          <w:rFonts w:ascii="맑은 고딕" w:hAnsi="맑은 고딕"/>
          <w:sz w:val="22"/>
        </w:rPr>
        <w:t>전체 응답자의 56%가 가끔 이상으로 우울한 기분을 경험하고 있어, 정신 건강에 대한 우려가 필요할 수 있음을 시사합니다.</w:t>
      </w:r>
    </w:p>
    <w:p>
      <w:r>
        <w:br/>
      </w:r>
    </w:p>
    <w:p>
      <w:pPr>
        <w:pStyle w:val="Heading2"/>
      </w:pPr>
      <w:r>
        <w:t>질문 40</w:t>
      </w:r>
    </w:p>
    <w:p>
      <w:r>
        <w:drawing>
          <wp:inline distT="0" distB="0" distL="180" distR="180">
            <wp:extent cx="4572000" cy="3429000"/>
            <wp:effectExtent l="0" t="0" r="0" b="0"/>
            <wp:docPr id="1064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40"/>
                    <pic:cNvPicPr>
                      <a:picLocks noUngrp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'나 자신에 대해 만족스러웠다'는 질문에 대한 설문 조사 결과는 전혀 없음 20%(20명), 드물게 30%(30명), 가끔 79%(79명), 자주 48%(48명), 항상 13%(13명)으로 나타났습니다.</w:t>
      </w:r>
    </w:p>
    <w:p>
      <w:r>
        <w:rPr>
          <w:rFonts w:ascii="맑은 고딕" w:hAnsi="맑은 고딕"/>
          <w:sz w:val="22"/>
        </w:rPr>
        <w:t>전체 응답자의 70% 이상이 가끔 이상으로 자신에 대한 만족감을 느끼고 있으며, 이는 개인의 자기 인식과 긍정적인 자아 이미지가 어느 정도 형성되어 있음을 시사합니다.</w:t>
      </w:r>
    </w:p>
    <w:p>
      <w:r>
        <w:br/>
      </w:r>
    </w:p>
    <w:p>
      <w:pPr>
        <w:pStyle w:val="Heading2"/>
      </w:pPr>
      <w:r>
        <w:t>질문 41</w:t>
      </w:r>
    </w:p>
    <w:p>
      <w:r>
        <w:drawing>
          <wp:inline distT="0" distB="0" distL="180" distR="180">
            <wp:extent cx="4572000" cy="3429000"/>
            <wp:effectExtent l="0" t="0" r="0" b="0"/>
            <wp:docPr id="1065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41"/>
                    <pic:cNvPicPr>
                      <a:picLocks noUngrp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삶이 즐겁다고 느꼈다는 응답에서 '전혀 없음' 17.0%(17명), '드물게' 31.0%(31명), '가끔' 78.0%(78명), '자주' 48.0%(48명), '항상' 15.0%(15명)으로 나타났습니다.</w:t>
      </w:r>
    </w:p>
    <w:p>
      <w:r>
        <w:rPr>
          <w:rFonts w:ascii="맑은 고딕" w:hAnsi="맑은 고딕"/>
          <w:sz w:val="22"/>
        </w:rPr>
        <w:t>이는 대다수의 응답자가 삶의 즐거움을 가끔 이상으로 느끼고 있음을 보여주며, 전반적으로 긍정적인 정서를 가지고 있을 가능성을 시사합니다.</w:t>
      </w:r>
    </w:p>
    <w:p>
      <w:r>
        <w:br/>
      </w:r>
    </w:p>
    <w:p>
      <w:pPr>
        <w:pStyle w:val="Heading2"/>
      </w:pPr>
      <w:r>
        <w:t>질문 42</w:t>
      </w:r>
    </w:p>
    <w:p>
      <w:r>
        <w:drawing>
          <wp:inline distT="0" distB="0" distL="180" distR="180">
            <wp:extent cx="4572000" cy="3429000"/>
            <wp:effectExtent l="0" t="0" r="0" b="0"/>
            <wp:docPr id="1066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/>
                    <pic:cNvPicPr>
                      <a:picLocks noUngrp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'삶이 의미 없다고 느꼈다'는 질문에 대한 응답은 전혀 없음 54%(54명), 드물게 63%(63명), 가끔 40%(40명), 자주 24%(24명), 항상 9%(9명)으로 나타났습니다.</w:t>
      </w:r>
    </w:p>
    <w:p>
      <w:r>
        <w:rPr>
          <w:rFonts w:ascii="맑은 고딕" w:hAnsi="맑은 고딕"/>
          <w:sz w:val="22"/>
        </w:rPr>
        <w:t>전체 응답자의 83%가 '전혀 없음' 또는 '드물게'를 선택하여 삶의 의미를 느끼는 경향이 강함을 보여줍니다.</w:t>
      </w:r>
    </w:p>
    <w:p>
      <w:r>
        <w:rPr>
          <w:rFonts w:ascii="맑은 고딕" w:hAnsi="맑은 고딕"/>
          <w:sz w:val="22"/>
        </w:rPr>
        <w:t>이는 대다수의 사람들이 삶의 의미를 긍정적으로 인식하고 있음을 시사합니다.</w:t>
      </w:r>
    </w:p>
    <w:p>
      <w:r>
        <w:br/>
      </w:r>
    </w:p>
    <w:p>
      <w:pPr>
        <w:pStyle w:val="Heading2"/>
      </w:pPr>
      <w:r>
        <w:t>질문 43</w:t>
      </w:r>
    </w:p>
    <w:p>
      <w:r>
        <w:drawing>
          <wp:inline distT="0" distB="0" distL="180" distR="180">
            <wp:extent cx="4572000" cy="3429000"/>
            <wp:effectExtent l="0" t="0" r="0" b="0"/>
            <wp:docPr id="1067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/>
                    <pic:cNvPicPr>
                      <a:picLocks noUngrp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잠드는 데 어려움을 겪는다는 질문에 대한 응답은 전혀 없음 58%(58명), 드물게 67%(67명), 가끔 39%(39명), 자주 21%(21명), 항상 5%(5명)으로 나타났다.</w:t>
      </w:r>
    </w:p>
    <w:p>
      <w:r>
        <w:rPr>
          <w:rFonts w:ascii="맑은 고딕" w:hAnsi="맑은 고딕"/>
          <w:sz w:val="22"/>
        </w:rPr>
        <w:t>전체 응답자의 66%가 가끔 이상으로 잠드는 데 어려움을 겪고 있음을 보여주며, 이는 수면 문제에 대한 관심과 해결책 모색이 필요함을 시사합니다.</w:t>
      </w:r>
    </w:p>
    <w:p>
      <w:r>
        <w:br/>
      </w:r>
    </w:p>
    <w:p>
      <w:pPr>
        <w:pStyle w:val="Heading2"/>
      </w:pPr>
      <w:r>
        <w:t>질문 44</w:t>
      </w:r>
    </w:p>
    <w:p>
      <w:r>
        <w:drawing>
          <wp:inline distT="0" distB="0" distL="180" distR="180">
            <wp:extent cx="4572000" cy="3429000"/>
            <wp:effectExtent l="0" t="0" r="0" b="0"/>
            <wp:docPr id="1068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44"/>
                    <pic:cNvPicPr>
                      <a:picLocks noUngrp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자는 도중에 자주 깬다는 응답은 전혀 없음 37.5%(61명), 드물게 35.4%(57명), 가끔 22.9%(37명), 자주 17.5%(28명), 항상 3.5%(7명)으로 나타났다.</w:t>
      </w:r>
    </w:p>
    <w:p>
      <w:r>
        <w:rPr>
          <w:rFonts w:ascii="맑은 고딕" w:hAnsi="맑은 고딕"/>
          <w:sz w:val="22"/>
        </w:rPr>
        <w:t>이는 대다수의 응답자가 수면 중 깨어나는 경험이 드물거나 전혀 없다고 응답했음을 보여줍니다.</w:t>
      </w:r>
    </w:p>
    <w:p>
      <w:r>
        <w:br/>
      </w:r>
    </w:p>
    <w:p>
      <w:pPr>
        <w:pStyle w:val="Heading2"/>
      </w:pPr>
      <w:r>
        <w:t>질문 45</w:t>
      </w:r>
    </w:p>
    <w:p>
      <w:r>
        <w:drawing>
          <wp:inline distT="0" distB="0" distL="180" distR="180">
            <wp:extent cx="4572000" cy="3429000"/>
            <wp:effectExtent l="0" t="0" r="0" b="0"/>
            <wp:docPr id="1069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45"/>
                    <pic:cNvPicPr>
                      <a:picLocks noUngrp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잠을 자고 나서 상쾌함을 느낀다는 질문에 대한 응답은 전혀 없음 31%(31명), 드물게 53%(53명), 가끔 71%(71명), 자주 26%(26명), 항상 8%(8명)으로 나타났다.</w:t>
      </w:r>
    </w:p>
    <w:p>
      <w:r>
        <w:rPr>
          <w:rFonts w:ascii="맑은 고딕" w:hAnsi="맑은 고딕"/>
          <w:sz w:val="22"/>
        </w:rPr>
        <w:t>이는 응답자의 절반 이상이 상쾌함을 느끼지 못하거나 드물게 느낀다는 것을 보여주며, 수면의 질 개선이 필요할 수 있음을 시사합니다.</w:t>
      </w:r>
    </w:p>
    <w:p>
      <w:r>
        <w:br/>
      </w:r>
    </w:p>
    <w:p>
      <w:pPr>
        <w:pStyle w:val="Heading2"/>
      </w:pPr>
      <w:r>
        <w:t>질문 46</w:t>
      </w:r>
    </w:p>
    <w:p>
      <w:r>
        <w:drawing>
          <wp:inline distT="0" distB="0" distL="180" distR="180">
            <wp:extent cx="4572000" cy="3429000"/>
            <wp:effectExtent l="0" t="0" r="0" b="0"/>
            <wp:docPr id="1070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46"/>
                    <pic:cNvPicPr>
                      <a:picLocks noUngrp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수면 부족으로 인해 집중하기 어렵다는 응답은 전혀 없음 41%(41명), 드물게 59%(59명), 가끔 57%(57명), 자주 21%(21명), 항상 11%(11명)으로 나타났다.</w:t>
      </w:r>
    </w:p>
    <w:p>
      <w:r>
        <w:rPr>
          <w:rFonts w:ascii="맑은 고딕" w:hAnsi="맑은 고딕"/>
          <w:sz w:val="22"/>
        </w:rPr>
        <w:t>전체 응답자의 38%가 자주 또는 항상 집중하기 어렵다고 느끼고 있어, 수면 부족이 집중력에 미치는 영향이 상당함을 시사합니다.</w:t>
      </w:r>
    </w:p>
    <w:p>
      <w:r>
        <w:br/>
      </w:r>
    </w:p>
    <w:p>
      <w:pPr>
        <w:pStyle w:val="Heading2"/>
      </w:pPr>
      <w:r>
        <w:t>질문 47</w:t>
      </w:r>
    </w:p>
    <w:p>
      <w:pPr>
        <w:rPr>
          <w:rFonts w:ascii="맑은 고딕" w:eastAsia="맑은 고딕" w:hAnsi="맑은 고딕" w:cs="맑은 고딕" w:hint="default"/>
          <w:u w:color="auto"/>
        </w:rPr>
      </w:pPr>
      <w:r>
        <w:drawing>
          <wp:inline distT="0" distB="0" distL="180" distR="180">
            <wp:extent cx="4572000" cy="3429000"/>
            <wp:effectExtent l="0" t="0" r="0" b="0"/>
            <wp:docPr id="1071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47"/>
                    <pic:cNvPicPr>
                      <a:picLocks noUngrp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"전반적인 수면에 대해 만족한다"는 질문에 대해,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</w:t>
      </w:r>
      <w:r>
        <w:rPr>
          <w:rFonts w:ascii="맑은 고딕" w:eastAsia="맑은 고딕" w:hAnsi="맑은 고딕" w:cs="맑은 고딕" w:hint="default"/>
          <w:u w:color="auto"/>
        </w:rPr>
        <w:t>전혀 없음 14%(14명), 드물게 49%(49명), 가끔 72%(72명), 자주 45%(45명), 항상 10%(10명)으로 응답했다.</w:t>
      </w:r>
    </w:p>
    <w:p>
      <w:pPr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전체 응답자의 약 36%가 전반적인 수면에 대해 대체로 만족한다고 응답했으며,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</w:t>
      </w:r>
      <w:r>
        <w:rPr>
          <w:rFonts w:ascii="맑은 고딕" w:eastAsia="맑은 고딕" w:hAnsi="맑은 고딕" w:cs="맑은 고딕" w:hint="default"/>
          <w:u w:color="auto"/>
        </w:rPr>
        <w:t>반면 약 32%은 수면 만족도가 낮은 것으로 나타났다.</w:t>
      </w:r>
    </w:p>
    <w:p>
      <w:r>
        <w:rPr>
          <w:rFonts w:ascii="맑은 고딕" w:eastAsia="맑은 고딕" w:hAnsi="맑은 고딕" w:cs="맑은 고딕" w:hint="default"/>
          <w:u w:color="auto"/>
        </w:rPr>
        <w:t>이는 응답자 간 수면 만족도에 차이가 있으며, 절반 이상(약 68%)이 수면에 어느 정도 이상의 만족을 느낀다고 해석할 수 있다.</w:t>
      </w:r>
      <w:r>
        <w:br/>
      </w:r>
    </w:p>
    <w:p>
      <w:r>
        <w:br w:type="page"/>
      </w:r>
    </w:p>
    <w:p>
      <w:pPr>
        <w:pStyle w:val="Heading1"/>
      </w:pPr>
      <w:r>
        <w:t>[3] 교차 분석</w:t>
      </w:r>
    </w:p>
    <w:p>
      <w:pPr>
        <w:pStyle w:val="Heading2"/>
      </w:pPr>
      <w:r>
        <w:t>교차 분석 결과 1</w:t>
      </w:r>
    </w:p>
    <w:p>
      <w:pPr>
        <w:rPr>
          <w:lang w:eastAsia="ko-KR"/>
          <w:rFonts w:ascii="맑은 고딕" w:hAnsi="맑은 고딕" w:hint="eastAsia"/>
          <w:sz w:val="22"/>
          <w:rtl w:val="off"/>
        </w:rPr>
      </w:pPr>
      <w:r>
        <w:drawing>
          <wp:inline distT="0" distB="0" distL="180" distR="180">
            <wp:extent cx="4572000" cy="2286000"/>
            <wp:effectExtent l="0" t="0" r="0" b="0"/>
            <wp:docPr id="1075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49"/>
                    <pic:cNvPicPr>
                      <a:picLocks noUngrp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해석 결과: 6번 질문에서 운동 빈도가 증가할수록 8번 질문에서 건강 상태에 대한 긍정적인 응답 비율이 높아지는 경향이 보인다.</w:t>
      </w:r>
    </w:p>
    <w:p>
      <w:r>
        <w:rPr>
          <w:rFonts w:ascii="맑은 고딕" w:hAnsi="맑은 고딕"/>
          <w:sz w:val="22"/>
        </w:rPr>
        <w:t>'주 1–2회' 운동을 하는 사람들은 '보통이다'와 '조금 건강하지 않다'를 선택한 비율이 비슷하게 나타났으나, 운동 빈도가 증가함에 따라 '보통이다'를 선택한 비율이 높아지고, '조금 건강하지 않다'와 '전혀 건강하지 않다'를 선택한 비율은 감소하는 경향이 보인다.</w:t>
      </w:r>
    </w:p>
    <w:p>
      <w:r>
        <w:rPr>
          <w:rFonts w:ascii="맑은 고딕" w:hAnsi="맑은 고딕"/>
          <w:sz w:val="22"/>
        </w:rPr>
        <w:t>이는 운동 빈도가 높을수록 건강 상태에 대한 인식이 긍정적으로 변화할 수 있음을 시사한다.</w:t>
      </w:r>
    </w:p>
    <w:p>
      <w:r>
        <w:br/>
      </w:r>
    </w:p>
    <w:p>
      <w:pPr>
        <w:pStyle w:val="Heading2"/>
      </w:pPr>
      <w:r>
        <w:t>교차 분석 결과 2</w:t>
      </w:r>
    </w:p>
    <w:p>
      <w:r>
        <w:drawing>
          <wp:inline distT="0" distB="0" distL="180" distR="180">
            <wp:extent cx="4572000" cy="2286000"/>
            <wp:effectExtent l="0" t="0" r="0" b="0"/>
            <wp:docPr id="1077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50"/>
                    <pic:cNvPicPr>
                      <a:picLocks noUngrp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해석 결과: 9번 질문에서 활동 빈도가 증가할수록 11번 질문에서의 활동 인식이 다양해지는 경향이 보인다.</w:t>
      </w:r>
    </w:p>
    <w:p>
      <w:r>
        <w:rPr>
          <w:rFonts w:ascii="맑은 고딕" w:hAnsi="맑은 고딕"/>
          <w:sz w:val="22"/>
        </w:rPr>
        <w:t>'주 1–2회' 활동을 선택한 응답자들은 대부분 '주 1–2회'를 선택했지만, '주 3–4회'를 선택한 응답자들은 '주 1–2회'와 '주 3–4회'를 선택한 비율이 비슷하게 나타났다.</w:t>
      </w:r>
    </w:p>
    <w:p>
      <w:r>
        <w:rPr>
          <w:rFonts w:ascii="맑은 고딕" w:hAnsi="맑은 고딕"/>
          <w:sz w:val="22"/>
        </w:rPr>
        <w:t>반면, '주 5–6회'와 '매일'을 선택한 응답자들은 상대적으로 '주 1–2회'를 선택한 비율이 높아, 활동 빈도가 높을수록 활동 인식이 더 다양해질 수 있음을 나타낸다.</w:t>
      </w:r>
    </w:p>
    <w:p>
      <w:r>
        <w:br/>
      </w:r>
    </w:p>
    <w:p>
      <w:pPr>
        <w:pStyle w:val="Heading2"/>
      </w:pPr>
      <w:r>
        <w:t>교차 분석 결과 3</w:t>
      </w:r>
    </w:p>
    <w:p>
      <w:pPr>
        <w:rPr>
          <w:lang w:eastAsia="ko-KR"/>
          <w:rFonts w:ascii="맑은 고딕" w:hAnsi="맑은 고딕" w:hint="eastAsia"/>
          <w:sz w:val="22"/>
          <w:rtl w:val="off"/>
        </w:rPr>
      </w:pPr>
      <w:r>
        <w:drawing>
          <wp:inline distT="0" distB="0" distL="180" distR="180">
            <wp:extent cx="4572000" cy="2286000"/>
            <wp:effectExtent l="0" t="0" r="0" b="0"/>
            <wp:docPr id="1076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48"/>
                    <pic:cNvPicPr>
                      <a:picLocks noUngrp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맑은 고딕" w:hAnsi="맑은 고딕"/>
          <w:sz w:val="22"/>
        </w:rPr>
        <w:t>해석 결과: 20번 질문에서의 시간대에 따라 21번 질문에서의 인식이 다르게 나타나는 경향이 보인다.</w:t>
      </w:r>
    </w:p>
    <w:p>
      <w:r>
        <w:rPr>
          <w:rFonts w:ascii="맑은 고딕" w:hAnsi="맑은 고딕"/>
          <w:sz w:val="22"/>
        </w:rPr>
        <w:t>'1시간 미만'을 선택한 응답자들은 '보통이다'와 '대체로 그렇다'를 선택한 비율이 높았으나, '5–7시간'을 선택한 응답자들은 '거의 그렇지 않다'를 선택한 비율이 두드러지게 나타났다.</w:t>
      </w:r>
    </w:p>
    <w:p>
      <w:r>
        <w:rPr>
          <w:rFonts w:ascii="맑은 고딕" w:hAnsi="맑은 고딕"/>
          <w:sz w:val="22"/>
        </w:rPr>
        <w:t>이는 수면 시간에 따라 개인의 인식이 달라질 수 있음을 시사하며, 특히 수면 시간이 짧은 경우 긍정적인 인식이 상대적으로 높을 수 있음을 보여준다.</w:t>
      </w:r>
    </w:p>
    <w:p>
      <w:r>
        <w:br/>
      </w:r>
    </w:p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7FFFFFFF" w:usb1="29D77CFB" w:usb2="00000012" w:usb3="00000001" w:csb0="00080001" w:csb1="00000001"/>
  </w:font>
  <w:font w:name="Courier">
    <w:charset w:val="00"/>
    <w:notTrueType w:val="false"/>
  </w:font>
  <w:font w:name="Symbol">
    <w:panose1 w:val="05050102010706020507"/>
    <w:family w:val="Symbol"/>
    <w:charset w:val="00"/>
    <w:notTrueType w:val="false"/>
    <w:sig w:usb0="00000001" w:usb1="00000001" w:usb2="00000001" w:usb3="00000001" w:csb0="7FFFFF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29761a62"/>
    <w:lvl w:ilvl="0">
      <w:start w:val="1"/>
      <w:numFmt w:val="bullet"/>
      <w:lvlText w:val=""/>
      <w:lvlJc w:val="left"/>
      <w:pStyle w:val="ListBullet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HAns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8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iPriority="99" w:unhideWhenUsed="0"/>
    <w:lsdException w:name="Medium Shading 2" w:semiHidden="0" w:uiPriority="100" w:unhideWhenUsed="0"/>
    <w:lsdException w:name="Medium List 1" w:semiHidden="0" w:uiPriority="101" w:unhideWhenUsed="0"/>
    <w:lsdException w:name="Medium List 2" w:semiHidden="0" w:uiPriority="102" w:unhideWhenUsed="0"/>
    <w:lsdException w:name="Medium Grid 1" w:semiHidden="0" w:uiPriority="103" w:unhideWhenUsed="0"/>
    <w:lsdException w:name="Medium Grid 2" w:semiHidden="0" w:uiPriority="104" w:unhideWhenUsed="0"/>
    <w:lsdException w:name="Medium Grid 3" w:semiHidden="0" w:uiPriority="105" w:unhideWhenUsed="0"/>
    <w:lsdException w:name="Dark List" w:semiHidden="0" w:uiPriority="112" w:unhideWhenUsed="0"/>
    <w:lsdException w:name="Colorful Shading" w:semiHidden="0" w:uiPriority="113" w:unhideWhenUsed="0"/>
    <w:lsdException w:name="Colorful List" w:semiHidden="0" w:uiPriority="114" w:unhideWhenUsed="0"/>
    <w:lsdException w:name="Colorful Grid" w:semiHidden="0" w:uiPriority="115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iPriority="99" w:unhideWhenUsed="0"/>
    <w:lsdException w:name="Medium Shading 2 Accent 1" w:semiHidden="0" w:uiPriority="100" w:unhideWhenUsed="0"/>
    <w:lsdException w:name="Medium List 1 Accent 1" w:semiHidden="0" w:uiPriority="101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102" w:unhideWhenUsed="0"/>
    <w:lsdException w:name="Medium Grid 1 Accent 1" w:semiHidden="0" w:uiPriority="103" w:unhideWhenUsed="0"/>
    <w:lsdException w:name="Medium Grid 2 Accent 1" w:semiHidden="0" w:uiPriority="104" w:unhideWhenUsed="0"/>
    <w:lsdException w:name="Medium Grid 3 Accent 1" w:semiHidden="0" w:uiPriority="105" w:unhideWhenUsed="0"/>
    <w:lsdException w:name="Dark List Accent 1" w:semiHidden="0" w:uiPriority="112" w:unhideWhenUsed="0"/>
    <w:lsdException w:name="Colorful Shading Accent 1" w:semiHidden="0" w:uiPriority="113" w:unhideWhenUsed="0"/>
    <w:lsdException w:name="Colorful List Accent 1" w:semiHidden="0" w:uiPriority="114" w:unhideWhenUsed="0"/>
    <w:lsdException w:name="Colorful Grid Accent 1" w:semiHidden="0" w:uiPriority="115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iPriority="99" w:unhideWhenUsed="0"/>
    <w:lsdException w:name="Medium Shading 2 Accent 2" w:semiHidden="0" w:uiPriority="100" w:unhideWhenUsed="0"/>
    <w:lsdException w:name="Medium List 1 Accent 2" w:semiHidden="0" w:uiPriority="101" w:unhideWhenUsed="0"/>
    <w:lsdException w:name="Medium List 2 Accent 2" w:semiHidden="0" w:uiPriority="102" w:unhideWhenUsed="0"/>
    <w:lsdException w:name="Medium Grid 1 Accent 2" w:semiHidden="0" w:uiPriority="103" w:unhideWhenUsed="0"/>
    <w:lsdException w:name="Medium Grid 2 Accent 2" w:semiHidden="0" w:uiPriority="104" w:unhideWhenUsed="0"/>
    <w:lsdException w:name="Medium Grid 3 Accent 2" w:semiHidden="0" w:uiPriority="105" w:unhideWhenUsed="0"/>
    <w:lsdException w:name="Dark List Accent 2" w:semiHidden="0" w:uiPriority="112" w:unhideWhenUsed="0"/>
    <w:lsdException w:name="Colorful Shading Accent 2" w:semiHidden="0" w:uiPriority="113" w:unhideWhenUsed="0"/>
    <w:lsdException w:name="Colorful List Accent 2" w:semiHidden="0" w:uiPriority="114" w:unhideWhenUsed="0"/>
    <w:lsdException w:name="Colorful Grid Accent 2" w:semiHidden="0" w:uiPriority="115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iPriority="99" w:unhideWhenUsed="0"/>
    <w:lsdException w:name="Medium Shading 2 Accent 3" w:semiHidden="0" w:uiPriority="100" w:unhideWhenUsed="0"/>
    <w:lsdException w:name="Medium List 1 Accent 3" w:semiHidden="0" w:uiPriority="101" w:unhideWhenUsed="0"/>
    <w:lsdException w:name="Medium List 2 Accent 3" w:semiHidden="0" w:uiPriority="102" w:unhideWhenUsed="0"/>
    <w:lsdException w:name="Medium Grid 1 Accent 3" w:semiHidden="0" w:uiPriority="103" w:unhideWhenUsed="0"/>
    <w:lsdException w:name="Medium Grid 2 Accent 3" w:semiHidden="0" w:uiPriority="104" w:unhideWhenUsed="0"/>
    <w:lsdException w:name="Medium Grid 3 Accent 3" w:semiHidden="0" w:uiPriority="105" w:unhideWhenUsed="0"/>
    <w:lsdException w:name="Dark List Accent 3" w:semiHidden="0" w:uiPriority="112" w:unhideWhenUsed="0"/>
    <w:lsdException w:name="Colorful Shading Accent 3" w:semiHidden="0" w:uiPriority="113" w:unhideWhenUsed="0"/>
    <w:lsdException w:name="Colorful List Accent 3" w:semiHidden="0" w:uiPriority="114" w:unhideWhenUsed="0"/>
    <w:lsdException w:name="Colorful Grid Accent 3" w:semiHidden="0" w:uiPriority="115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iPriority="99" w:unhideWhenUsed="0"/>
    <w:lsdException w:name="Medium Shading 2 Accent 4" w:semiHidden="0" w:uiPriority="100" w:unhideWhenUsed="0"/>
    <w:lsdException w:name="Medium List 1 Accent 4" w:semiHidden="0" w:uiPriority="101" w:unhideWhenUsed="0"/>
    <w:lsdException w:name="Medium List 2 Accent 4" w:semiHidden="0" w:uiPriority="102" w:unhideWhenUsed="0"/>
    <w:lsdException w:name="Medium Grid 1 Accent 4" w:semiHidden="0" w:uiPriority="103" w:unhideWhenUsed="0"/>
    <w:lsdException w:name="Medium Grid 2 Accent 4" w:semiHidden="0" w:uiPriority="104" w:unhideWhenUsed="0"/>
    <w:lsdException w:name="Medium Grid 3 Accent 4" w:semiHidden="0" w:uiPriority="105" w:unhideWhenUsed="0"/>
    <w:lsdException w:name="Dark List Accent 4" w:semiHidden="0" w:uiPriority="112" w:unhideWhenUsed="0"/>
    <w:lsdException w:name="Colorful Shading Accent 4" w:semiHidden="0" w:uiPriority="113" w:unhideWhenUsed="0"/>
    <w:lsdException w:name="Colorful List Accent 4" w:semiHidden="0" w:uiPriority="114" w:unhideWhenUsed="0"/>
    <w:lsdException w:name="Colorful Grid Accent 4" w:semiHidden="0" w:uiPriority="115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iPriority="99" w:unhideWhenUsed="0"/>
    <w:lsdException w:name="Medium Shading 2 Accent 5" w:semiHidden="0" w:uiPriority="100" w:unhideWhenUsed="0"/>
    <w:lsdException w:name="Medium List 1 Accent 5" w:semiHidden="0" w:uiPriority="101" w:unhideWhenUsed="0"/>
    <w:lsdException w:name="Medium List 2 Accent 5" w:semiHidden="0" w:uiPriority="102" w:unhideWhenUsed="0"/>
    <w:lsdException w:name="Medium Grid 1 Accent 5" w:semiHidden="0" w:uiPriority="103" w:unhideWhenUsed="0"/>
    <w:lsdException w:name="Medium Grid 2 Accent 5" w:semiHidden="0" w:uiPriority="104" w:unhideWhenUsed="0"/>
    <w:lsdException w:name="Medium Grid 3 Accent 5" w:semiHidden="0" w:uiPriority="105" w:unhideWhenUsed="0"/>
    <w:lsdException w:name="Dark List Accent 5" w:semiHidden="0" w:uiPriority="112" w:unhideWhenUsed="0"/>
    <w:lsdException w:name="Colorful Shading Accent 5" w:semiHidden="0" w:uiPriority="113" w:unhideWhenUsed="0"/>
    <w:lsdException w:name="Colorful List Accent 5" w:semiHidden="0" w:uiPriority="114" w:unhideWhenUsed="0"/>
    <w:lsdException w:name="Colorful Grid Accent 5" w:semiHidden="0" w:uiPriority="115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iPriority="99" w:unhideWhenUsed="0"/>
    <w:lsdException w:name="Medium Shading 2 Accent 6" w:semiHidden="0" w:uiPriority="100" w:unhideWhenUsed="0"/>
    <w:lsdException w:name="Medium List 1 Accent 6" w:semiHidden="0" w:uiPriority="101" w:unhideWhenUsed="0"/>
    <w:lsdException w:name="Medium List 2 Accent 6" w:semiHidden="0" w:uiPriority="102" w:unhideWhenUsed="0"/>
    <w:lsdException w:name="Medium Grid 1 Accent 6" w:semiHidden="0" w:uiPriority="103" w:unhideWhenUsed="0"/>
    <w:lsdException w:name="Medium Grid 2 Accent 6" w:semiHidden="0" w:uiPriority="104" w:unhideWhenUsed="0"/>
    <w:lsdException w:name="Medium Grid 3 Accent 6" w:semiHidden="0" w:uiPriority="105" w:unhideWhenUsed="0"/>
    <w:lsdException w:name="Dark List Accent 6" w:semiHidden="0" w:uiPriority="112" w:unhideWhenUsed="0"/>
    <w:lsdException w:name="Colorful Shading Accent 6" w:semiHidden="0" w:uiPriority="113" w:unhideWhenUsed="0"/>
    <w:lsdException w:name="Colorful List Accent 6" w:semiHidden="0" w:uiPriority="114" w:unhideWhenUsed="0"/>
    <w:lsdException w:name="Colorful Grid Accent 6" w:semiHidden="0" w:uiPriority="115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Normal">
    <w:name w:val="Normal"/>
    <w:qFormat/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link w:val="Heading1Char"/>
    <w:qFormat/>
    <w:pPr>
      <w:keepNext/>
      <w:keepLines/>
      <w:outlineLvl w:val="0"/>
      <w:spacing w:after="0" w:before="480"/>
    </w:pPr>
    <w:rPr>
      <w:rFonts w:asciiTheme="majorHAnsi" w:eastAsiaTheme="majorHAnsi" w:hAnsiTheme="majorHAnsi" w:cstheme="majorHAnsi"/>
      <w:b/>
      <w:bCs/>
      <w:color w:val="376092"/>
      <w:sz w:val="28"/>
      <w:szCs w:val="28"/>
    </w:rPr>
  </w:style>
  <w:style w:type="paragraph" w:styleId="Heading2">
    <w:name w:val="heading 2"/>
    <w:uiPriority w:val="9"/>
    <w:basedOn w:val="Normal"/>
    <w:next w:val="Normal"/>
    <w:link w:val="Heading2Char"/>
    <w:qFormat/>
    <w:unhideWhenUsed/>
    <w:pPr>
      <w:keepNext/>
      <w:keepLines/>
      <w:outlineLvl w:val="1"/>
      <w:spacing w:after="0" w:before="200"/>
    </w:pPr>
    <w:rPr>
      <w:rFonts w:asciiTheme="majorHAnsi" w:eastAsiaTheme="majorHAnsi" w:hAnsiTheme="majorHAnsi" w:cstheme="majorHAnsi"/>
      <w:b/>
      <w:bCs/>
      <w:color w:val="4F81BD"/>
      <w:sz w:val="26"/>
      <w:szCs w:val="26"/>
    </w:rPr>
  </w:style>
  <w:style w:type="paragraph" w:styleId="Heading3">
    <w:name w:val="heading 3"/>
    <w:uiPriority w:val="9"/>
    <w:basedOn w:val="Normal"/>
    <w:next w:val="Normal"/>
    <w:link w:val="Heading3Char"/>
    <w:qFormat/>
    <w:unhideWhenUsed/>
    <w:pPr>
      <w:keepNext/>
      <w:keepLines/>
      <w:outlineLvl w:val="2"/>
      <w:spacing w:after="0" w:before="200"/>
    </w:pPr>
    <w:rPr>
      <w:rFonts w:asciiTheme="majorHAnsi" w:eastAsiaTheme="majorHAnsi" w:hAnsiTheme="majorHAnsi" w:cstheme="majorHAnsi"/>
      <w:b/>
      <w:bCs/>
      <w:color w:val="4F81BD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HAnsi" w:hAnsiTheme="majorHAnsi" w:cstheme="majorHAns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HAnsi" w:hAnsiTheme="majorHAnsi" w:cstheme="majorHAns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HAnsi" w:hAnsiTheme="majorHAnsi" w:cstheme="majorHAns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HAnsi" w:hAnsiTheme="majorHAnsi" w:cstheme="majorHAnsi"/>
      <w:i/>
      <w:iCs/>
      <w:color w:val="8C8C8C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HAnsi" w:hAnsiTheme="majorHAnsi" w:cstheme="majorHAns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HAnsi" w:hAnsiTheme="majorHAnsi" w:cstheme="majorHAnsi"/>
      <w:i/>
      <w:iCs/>
      <w:color w:val="8C8C8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HAnsi" w:hAnsiTheme="majorHAnsi" w:cstheme="majorHAns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HAnsi" w:hAnsiTheme="majorHAnsi" w:cstheme="majorHAns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HAnsi" w:hAnsiTheme="majorHAnsi" w:cstheme="majorHAns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HAnsi" w:hAnsiTheme="majorHAnsi" w:cstheme="majorHAns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HAnsi" w:hAnsiTheme="majorHAnsi" w:cstheme="majorHAns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1"/>
      </w:numPr>
    </w:pPr>
    <w:rPr>
      <w:rFonts w:asciiTheme="majorHAnsi" w:eastAsiaTheme="majorHAnsi" w:hAnsiTheme="majorHAnsi" w:cstheme="majorHAns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HAnsi" w:hAnsiTheme="majorHAnsi" w:cstheme="majorHAns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unhideWhenUsed/>
    <w:pPr>
      <w:contextualSpacing/>
      <w:numPr>
        <w:numId w:val="1"/>
      </w:numPr>
    </w:p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numId w:val="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numId w:val="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numId w:val="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numId w:val="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numId w:val="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HAnsi" w:hAnsiTheme="majorHAnsi" w:cstheme="majorHAns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HAnsi" w:hAnsiTheme="majorHAnsi" w:cstheme="majorHAns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HAnsi" w:hAnsiTheme="majorHAnsi" w:cstheme="majorHAns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HAnsi" w:hAnsiTheme="majorHAnsi" w:cstheme="majorHAnsi"/>
      <w:i/>
      <w:iCs/>
      <w:color w:val="8C8C8C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HAnsi" w:hAnsiTheme="majorHAnsi" w:cstheme="majorHAns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HAnsi" w:hAnsiTheme="majorHAnsi" w:cstheme="majorHAnsi"/>
      <w:i/>
      <w:iCs/>
      <w:color w:val="8C8C8C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BDBDBD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E1E1E1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E1E1E1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E4E8F1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E4E8F1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F1E4E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F1E4E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BF0E4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BF0E4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E8E5EC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E8E5EC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E3EEF3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E3EEF3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HAnsi" w:hAnsiTheme="majorHAnsi" w:cstheme="majorHAns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HAnsi" w:hAnsiTheme="majorHAnsi" w:cstheme="majorHAnsi"/>
        <w:b/>
        <w:bCs/>
      </w:rPr>
    </w:tblStylePr>
    <w:tblStylePr w:type="lastCol">
      <w:rPr>
        <w:rFonts w:asciiTheme="majorHAnsi" w:eastAsiaTheme="majorHAnsi" w:hAnsiTheme="majorHAnsi" w:cstheme="majorHAns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BE3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BE3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8C8C8C" w:themeColor="text1" w:themeTint="bf"/>
        <w:left w:val="single" w:sz="8" w:space="0" w:color="8C8C8C" w:themeColor="text1" w:themeTint="bf"/>
        <w:bottom w:val="single" w:sz="8" w:space="0" w:color="8C8C8C" w:themeColor="text1" w:themeTint="bf"/>
        <w:right w:val="single" w:sz="8" w:space="0" w:color="8C8C8C" w:themeColor="text1" w:themeTint="bf"/>
        <w:insideH w:val="single" w:sz="8" w:space="0" w:color="8C8C8C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8C8C8C" w:themeColor="text1" w:themeTint="bf"/>
          <w:left w:val="single" w:sz="8" w:space="0" w:color="8C8C8C" w:themeColor="text1" w:themeTint="bf"/>
          <w:bottom w:val="single" w:sz="8" w:space="0" w:color="8C8C8C" w:themeColor="text1" w:themeTint="bf"/>
          <w:right w:val="single" w:sz="8" w:space="0" w:color="8C8C8C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C8C8C" w:themeColor="text1" w:themeTint="bf"/>
          <w:left w:val="single" w:sz="8" w:space="0" w:color="8C8C8C" w:themeColor="text1" w:themeTint="bf"/>
          <w:bottom w:val="single" w:sz="8" w:space="0" w:color="8C8C8C" w:themeColor="text1" w:themeTint="bf"/>
          <w:right w:val="single" w:sz="8" w:space="0" w:color="8C8C8C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E1E1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7ADD0" w:themeColor="accent1" w:themeTint="bf"/>
        <w:left w:val="single" w:sz="8" w:space="0" w:color="97ADD0" w:themeColor="accent1" w:themeTint="bf"/>
        <w:bottom w:val="single" w:sz="8" w:space="0" w:color="97ADD0" w:themeColor="accent1" w:themeTint="bf"/>
        <w:right w:val="single" w:sz="8" w:space="0" w:color="97ADD0" w:themeColor="accent1" w:themeTint="bf"/>
        <w:insideH w:val="single" w:sz="8" w:space="0" w:color="97ADD0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7ADD0" w:themeColor="accent1" w:themeTint="bf"/>
          <w:left w:val="single" w:sz="8" w:space="0" w:color="97ADD0" w:themeColor="accent1" w:themeTint="bf"/>
          <w:bottom w:val="single" w:sz="8" w:space="0" w:color="97ADD0" w:themeColor="accent1" w:themeTint="bf"/>
          <w:right w:val="single" w:sz="8" w:space="0" w:color="97ADD0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7ADD0" w:themeColor="accent1" w:themeTint="bf"/>
          <w:left w:val="single" w:sz="8" w:space="0" w:color="97ADD0" w:themeColor="accent1" w:themeTint="bf"/>
          <w:bottom w:val="single" w:sz="8" w:space="0" w:color="97ADD0" w:themeColor="accent1" w:themeTint="bf"/>
          <w:right w:val="single" w:sz="8" w:space="0" w:color="97ADD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8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8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D29897" w:themeColor="accent2" w:themeTint="bf"/>
        <w:left w:val="single" w:sz="8" w:space="0" w:color="D29897" w:themeColor="accent2" w:themeTint="bf"/>
        <w:bottom w:val="single" w:sz="8" w:space="0" w:color="D29897" w:themeColor="accent2" w:themeTint="bf"/>
        <w:right w:val="single" w:sz="8" w:space="0" w:color="D29897" w:themeColor="accent2" w:themeTint="bf"/>
        <w:insideH w:val="single" w:sz="8" w:space="0" w:color="D29897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D29897" w:themeColor="accent2" w:themeTint="bf"/>
          <w:left w:val="single" w:sz="8" w:space="0" w:color="D29897" w:themeColor="accent2" w:themeTint="bf"/>
          <w:bottom w:val="single" w:sz="8" w:space="0" w:color="D29897" w:themeColor="accent2" w:themeTint="bf"/>
          <w:right w:val="single" w:sz="8" w:space="0" w:color="D29897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D29897" w:themeColor="accent2" w:themeTint="bf"/>
          <w:left w:val="single" w:sz="8" w:space="0" w:color="D29897" w:themeColor="accent2" w:themeTint="bf"/>
          <w:bottom w:val="single" w:sz="8" w:space="0" w:color="D29897" w:themeColor="accent2" w:themeTint="bf"/>
          <w:right w:val="single" w:sz="8" w:space="0" w:color="D2989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4E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4E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BCF9B" w:themeColor="accent3" w:themeTint="bf"/>
        <w:left w:val="single" w:sz="8" w:space="0" w:color="BBCF9B" w:themeColor="accent3" w:themeTint="bf"/>
        <w:bottom w:val="single" w:sz="8" w:space="0" w:color="BBCF9B" w:themeColor="accent3" w:themeTint="bf"/>
        <w:right w:val="single" w:sz="8" w:space="0" w:color="BBCF9B" w:themeColor="accent3" w:themeTint="bf"/>
        <w:insideH w:val="single" w:sz="8" w:space="0" w:color="BBCF9B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BCF9B" w:themeColor="accent3" w:themeTint="bf"/>
          <w:left w:val="single" w:sz="8" w:space="0" w:color="BBCF9B" w:themeColor="accent3" w:themeTint="bf"/>
          <w:bottom w:val="single" w:sz="8" w:space="0" w:color="BBCF9B" w:themeColor="accent3" w:themeTint="bf"/>
          <w:right w:val="single" w:sz="8" w:space="0" w:color="BBCF9B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BCF9B" w:themeColor="accent3" w:themeTint="bf"/>
          <w:left w:val="single" w:sz="8" w:space="0" w:color="BBCF9B" w:themeColor="accent3" w:themeTint="bf"/>
          <w:bottom w:val="single" w:sz="8" w:space="0" w:color="BBCF9B" w:themeColor="accent3" w:themeTint="bf"/>
          <w:right w:val="single" w:sz="8" w:space="0" w:color="BBCF9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0E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0E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AC9FBF" w:themeColor="accent4" w:themeTint="bf"/>
        <w:left w:val="single" w:sz="8" w:space="0" w:color="AC9FBF" w:themeColor="accent4" w:themeTint="bf"/>
        <w:bottom w:val="single" w:sz="8" w:space="0" w:color="AC9FBF" w:themeColor="accent4" w:themeTint="bf"/>
        <w:right w:val="single" w:sz="8" w:space="0" w:color="AC9FBF" w:themeColor="accent4" w:themeTint="bf"/>
        <w:insideH w:val="single" w:sz="8" w:space="0" w:color="AC9FBF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AC9FBF" w:themeColor="accent4" w:themeTint="bf"/>
          <w:left w:val="single" w:sz="8" w:space="0" w:color="AC9FBF" w:themeColor="accent4" w:themeTint="bf"/>
          <w:bottom w:val="single" w:sz="8" w:space="0" w:color="AC9FBF" w:themeColor="accent4" w:themeTint="bf"/>
          <w:right w:val="single" w:sz="8" w:space="0" w:color="AC9FBF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AC9FBF" w:themeColor="accent4" w:themeTint="bf"/>
          <w:left w:val="single" w:sz="8" w:space="0" w:color="AC9FBF" w:themeColor="accent4" w:themeTint="bf"/>
          <w:bottom w:val="single" w:sz="8" w:space="0" w:color="AC9FBF" w:themeColor="accent4" w:themeTint="bf"/>
          <w:right w:val="single" w:sz="8" w:space="0" w:color="AC9F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5EC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5EC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6C5D6" w:themeColor="accent5" w:themeTint="bf"/>
        <w:left w:val="single" w:sz="8" w:space="0" w:color="96C5D6" w:themeColor="accent5" w:themeTint="bf"/>
        <w:bottom w:val="single" w:sz="8" w:space="0" w:color="96C5D6" w:themeColor="accent5" w:themeTint="bf"/>
        <w:right w:val="single" w:sz="8" w:space="0" w:color="96C5D6" w:themeColor="accent5" w:themeTint="bf"/>
        <w:insideH w:val="single" w:sz="8" w:space="0" w:color="96C5D6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6C5D6" w:themeColor="accent5" w:themeTint="bf"/>
          <w:left w:val="single" w:sz="8" w:space="0" w:color="96C5D6" w:themeColor="accent5" w:themeTint="bf"/>
          <w:bottom w:val="single" w:sz="8" w:space="0" w:color="96C5D6" w:themeColor="accent5" w:themeTint="bf"/>
          <w:right w:val="single" w:sz="8" w:space="0" w:color="96C5D6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6C5D6" w:themeColor="accent5" w:themeTint="bf"/>
          <w:left w:val="single" w:sz="8" w:space="0" w:color="96C5D6" w:themeColor="accent5" w:themeTint="bf"/>
          <w:bottom w:val="single" w:sz="8" w:space="0" w:color="96C5D6" w:themeColor="accent5" w:themeTint="bf"/>
          <w:right w:val="single" w:sz="8" w:space="0" w:color="96C5D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EF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EF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895" w:themeColor="accent6" w:themeTint="bf"/>
        <w:left w:val="single" w:sz="8" w:space="0" w:color="F9B895" w:themeColor="accent6" w:themeTint="bf"/>
        <w:bottom w:val="single" w:sz="8" w:space="0" w:color="F9B895" w:themeColor="accent6" w:themeTint="bf"/>
        <w:right w:val="single" w:sz="8" w:space="0" w:color="F9B895" w:themeColor="accent6" w:themeTint="bf"/>
        <w:insideH w:val="single" w:sz="8" w:space="0" w:color="F9B895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895" w:themeColor="accent6" w:themeTint="bf"/>
          <w:left w:val="single" w:sz="8" w:space="0" w:color="F9B895" w:themeColor="accent6" w:themeTint="bf"/>
          <w:bottom w:val="single" w:sz="8" w:space="0" w:color="F9B895" w:themeColor="accent6" w:themeTint="bf"/>
          <w:right w:val="single" w:sz="8" w:space="0" w:color="F9B895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895" w:themeColor="accent6" w:themeTint="bf"/>
          <w:left w:val="single" w:sz="8" w:space="0" w:color="F9B895" w:themeColor="accent6" w:themeTint="bf"/>
          <w:bottom w:val="single" w:sz="8" w:space="0" w:color="F9B895" w:themeColor="accent6" w:themeTint="bf"/>
          <w:right w:val="single" w:sz="8" w:space="0" w:color="F9B89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E1E1E1" w:themeFill="text1" w:themeFillTint="3f"/>
      </w:tcPr>
    </w:tblStylePr>
    <w:tblStylePr w:type="band1Horz">
      <w:tblPr/>
      <w:tcPr>
        <w:shd w:val="clear" w:color="auto" w:fill="E1E1E1" w:themeFill="text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E4E8F1" w:themeFill="accent1" w:themeFillTint="3f"/>
      </w:tcPr>
    </w:tblStylePr>
    <w:tblStylePr w:type="band1Horz">
      <w:tblPr/>
      <w:tcPr>
        <w:shd w:val="clear" w:color="auto" w:fill="E4E8F1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F1E4E3" w:themeFill="accent2" w:themeFillTint="3f"/>
      </w:tcPr>
    </w:tblStylePr>
    <w:tblStylePr w:type="band1Horz">
      <w:tblPr/>
      <w:tcPr>
        <w:shd w:val="clear" w:color="auto" w:fill="F1E4E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BF0E4" w:themeFill="accent3" w:themeFillTint="3f"/>
      </w:tcPr>
    </w:tblStylePr>
    <w:tblStylePr w:type="band1Horz">
      <w:tblPr/>
      <w:tcPr>
        <w:shd w:val="clear" w:color="auto" w:fill="EBF0E4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E8E5EC" w:themeFill="accent4" w:themeFillTint="3f"/>
      </w:tcPr>
    </w:tblStylePr>
    <w:tblStylePr w:type="band1Horz">
      <w:tblPr/>
      <w:tcPr>
        <w:shd w:val="clear" w:color="auto" w:fill="E8E5EC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E3EEF3" w:themeFill="accent5" w:themeFillTint="3f"/>
      </w:tcPr>
    </w:tblStylePr>
    <w:tblStylePr w:type="band1Horz">
      <w:tblPr/>
      <w:tcPr>
        <w:shd w:val="clear" w:color="auto" w:fill="E3EEF3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HAnsi" w:hAnsiTheme="majorHAnsi" w:cstheme="majorHAns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BE3" w:themeFill="accent6" w:themeFillTint="3f"/>
      </w:tcPr>
    </w:tblStylePr>
    <w:tblStylePr w:type="band1Horz">
      <w:tblPr/>
      <w:tcPr>
        <w:shd w:val="clear" w:color="auto" w:fill="FDEBE3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E1E1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8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4E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0E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5EC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EF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8C8C8C" w:themeColor="text1" w:themeTint="bf"/>
        <w:left w:val="single" w:sz="8" w:space="0" w:color="8C8C8C" w:themeColor="text1" w:themeTint="bf"/>
        <w:bottom w:val="single" w:sz="8" w:space="0" w:color="8C8C8C" w:themeColor="text1" w:themeTint="bf"/>
        <w:right w:val="single" w:sz="8" w:space="0" w:color="8C8C8C" w:themeColor="text1" w:themeTint="bf"/>
        <w:insideH w:val="single" w:sz="8" w:space="0" w:color="8C8C8C" w:themeColor="text1" w:themeTint="bf"/>
        <w:insideV w:val="single" w:sz="8" w:space="0" w:color="8C8C8C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shd w:val="clear" w:color="auto" w:fill="BDBDBD" w:themeFill="text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7ADD0" w:themeColor="accent1" w:themeTint="bf"/>
        <w:left w:val="single" w:sz="8" w:space="0" w:color="97ADD0" w:themeColor="accent1" w:themeTint="bf"/>
        <w:bottom w:val="single" w:sz="8" w:space="0" w:color="97ADD0" w:themeColor="accent1" w:themeTint="bf"/>
        <w:right w:val="single" w:sz="8" w:space="0" w:color="97ADD0" w:themeColor="accent1" w:themeTint="bf"/>
        <w:insideH w:val="single" w:sz="8" w:space="0" w:color="97ADD0" w:themeColor="accent1" w:themeTint="bf"/>
        <w:insideV w:val="single" w:sz="8" w:space="0" w:color="97ADD0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ADD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shd w:val="clear" w:color="auto" w:fill="C2CDE1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D29897" w:themeColor="accent2" w:themeTint="bf"/>
        <w:left w:val="single" w:sz="8" w:space="0" w:color="D29897" w:themeColor="accent2" w:themeTint="bf"/>
        <w:bottom w:val="single" w:sz="8" w:space="0" w:color="D29897" w:themeColor="accent2" w:themeTint="bf"/>
        <w:right w:val="single" w:sz="8" w:space="0" w:color="D29897" w:themeColor="accent2" w:themeTint="bf"/>
        <w:insideH w:val="single" w:sz="8" w:space="0" w:color="D29897" w:themeColor="accent2" w:themeTint="bf"/>
        <w:insideV w:val="single" w:sz="8" w:space="0" w:color="D29897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89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shd w:val="clear" w:color="auto" w:fill="E2C3C2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BCF9B" w:themeColor="accent3" w:themeTint="bf"/>
        <w:left w:val="single" w:sz="8" w:space="0" w:color="BBCF9B" w:themeColor="accent3" w:themeTint="bf"/>
        <w:bottom w:val="single" w:sz="8" w:space="0" w:color="BBCF9B" w:themeColor="accent3" w:themeTint="bf"/>
        <w:right w:val="single" w:sz="8" w:space="0" w:color="BBCF9B" w:themeColor="accent3" w:themeTint="bf"/>
        <w:insideH w:val="single" w:sz="8" w:space="0" w:color="BBCF9B" w:themeColor="accent3" w:themeTint="bf"/>
        <w:insideV w:val="single" w:sz="8" w:space="0" w:color="BBCF9B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F9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AC9FBF" w:themeColor="accent4" w:themeTint="bf"/>
        <w:left w:val="single" w:sz="8" w:space="0" w:color="AC9FBF" w:themeColor="accent4" w:themeTint="bf"/>
        <w:bottom w:val="single" w:sz="8" w:space="0" w:color="AC9FBF" w:themeColor="accent4" w:themeTint="bf"/>
        <w:right w:val="single" w:sz="8" w:space="0" w:color="AC9FBF" w:themeColor="accent4" w:themeTint="bf"/>
        <w:insideH w:val="single" w:sz="8" w:space="0" w:color="AC9FBF" w:themeColor="accent4" w:themeTint="bf"/>
        <w:insideV w:val="single" w:sz="8" w:space="0" w:color="AC9FBF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9F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shd w:val="clear" w:color="auto" w:fill="CDC6D7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6C5D6" w:themeColor="accent5" w:themeTint="bf"/>
        <w:left w:val="single" w:sz="8" w:space="0" w:color="96C5D6" w:themeColor="accent5" w:themeTint="bf"/>
        <w:bottom w:val="single" w:sz="8" w:space="0" w:color="96C5D6" w:themeColor="accent5" w:themeTint="bf"/>
        <w:right w:val="single" w:sz="8" w:space="0" w:color="96C5D6" w:themeColor="accent5" w:themeTint="bf"/>
        <w:insideH w:val="single" w:sz="8" w:space="0" w:color="96C5D6" w:themeColor="accent5" w:themeTint="bf"/>
        <w:insideV w:val="single" w:sz="8" w:space="0" w:color="96C5D6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5D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shd w:val="clear" w:color="auto" w:fill="C2DBE5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895" w:themeColor="accent6" w:themeTint="bf"/>
        <w:left w:val="single" w:sz="8" w:space="0" w:color="F9B895" w:themeColor="accent6" w:themeTint="bf"/>
        <w:bottom w:val="single" w:sz="8" w:space="0" w:color="F9B895" w:themeColor="accent6" w:themeTint="bf"/>
        <w:right w:val="single" w:sz="8" w:space="0" w:color="F9B895" w:themeColor="accent6" w:themeTint="bf"/>
        <w:insideH w:val="single" w:sz="8" w:space="0" w:color="F9B895" w:themeColor="accent6" w:themeTint="bf"/>
        <w:insideV w:val="single" w:sz="8" w:space="0" w:color="F9B895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89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shd w:val="clear" w:color="auto" w:fill="FBD3C1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  <w:color w:val="000000"/>
      </w:rPr>
      <w:tblPr/>
      <w:tcPr>
        <w:shd w:val="clear" w:color="auto" w:fill="F4F4F4" w:themeFill="tex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7E7" w:themeFill="text1" w:themeFillTint="33"/>
      </w:tc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BDBDBD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  <w:color w:val="000000"/>
      </w:rPr>
      <w:tblPr/>
      <w:tcPr>
        <w:shd w:val="clear" w:color="auto" w:fill="F5F6FA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DF4" w:themeFill="accent1" w:themeFillTint="33"/>
      </w:tc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C2CD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  <w:color w:val="000000"/>
      </w:rPr>
      <w:tblPr/>
      <w:tcPr>
        <w:shd w:val="clear" w:color="auto" w:fill="FAF5F5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9E9" w:themeFill="accent2" w:themeFillTint="33"/>
      </w:tc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E2C3C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  <w:color w:val="000000"/>
      </w:rPr>
      <w:tblPr/>
      <w:tcPr>
        <w:shd w:val="clear" w:color="auto" w:fill="F7F9F5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EA" w:themeFill="accent3" w:themeFillTint="33"/>
      </w:tc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D5E0C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  <w:color w:val="000000"/>
      </w:rPr>
      <w:tblPr/>
      <w:tcPr>
        <w:shd w:val="clear" w:color="auto" w:fill="F6F5F8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AF0" w:themeFill="accent4" w:themeFillTint="33"/>
      </w:tc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CDC6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  <w:color w:val="000000"/>
      </w:rPr>
      <w:tblPr/>
      <w:tcPr>
        <w:shd w:val="clear" w:color="auto" w:fill="F5F8FA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1F5" w:themeFill="accent5" w:themeFillTint="33"/>
      </w:tc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C2DBE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HAnsi" w:hAnsiTheme="majorHAnsi" w:cstheme="majorHAns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7F4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E9" w:themeFill="accent6" w:themeFillTint="33"/>
      </w:tc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D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1E1E1" w:themeFill="tex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BDBD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BDBD" w:themeFill="text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4E8F1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CD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CDE1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1E4E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C3C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C3C2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0E4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E0C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E0C4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8E5EC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C6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C6D7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3EEF3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DBE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DBE5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BE3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3C1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4F4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CCCCCC" w:themeFill="text1" w:themeFillTint="66"/>
      </w:tcPr>
    </w:tblStylePr>
    <w:tblStylePr w:type="band1Horz">
      <w:tblPr/>
      <w:tcPr>
        <w:shd w:val="clear" w:color="auto" w:fill="BDBDBD" w:themeFill="tex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6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D0D8E8" w:themeFill="accent1" w:themeFillTint="66"/>
      </w:tcPr>
    </w:tblStylePr>
    <w:tblStylePr w:type="band1Horz">
      <w:tblPr/>
      <w:tcPr>
        <w:shd w:val="clear" w:color="auto" w:fill="C2CDE1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AF5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8D0D0" w:themeFill="accent2" w:themeFillTint="66"/>
      </w:tcPr>
    </w:tblStylePr>
    <w:tblStylePr w:type="band1Horz">
      <w:tblPr/>
      <w:tcPr>
        <w:shd w:val="clear" w:color="auto" w:fill="E2C3C2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F9F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EE7D1" w:themeFill="accent3" w:themeFillTint="66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6F5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D8D3E0" w:themeFill="accent4" w:themeFillTint="66"/>
      </w:tcPr>
    </w:tblStylePr>
    <w:tblStylePr w:type="band1Horz">
      <w:tblPr/>
      <w:tcPr>
        <w:shd w:val="clear" w:color="auto" w:fill="CDC6D7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F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D0E3EA" w:themeFill="accent5" w:themeFillTint="66"/>
      </w:tcPr>
    </w:tblStylePr>
    <w:tblStylePr w:type="band1Horz">
      <w:tblPr/>
      <w:tcPr>
        <w:shd w:val="clear" w:color="auto" w:fill="C2DBE5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7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CDDCF" w:themeFill="accent6" w:themeFillTint="66"/>
      </w:tcPr>
    </w:tblStylePr>
    <w:tblStylePr w:type="band1Horz">
      <w:tblPr/>
      <w:tcPr>
        <w:shd w:val="clear" w:color="auto" w:fill="FBD3C1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4F4F4" w:themeFill="tex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1E1" w:themeFill="text1" w:themeFillTint="3f"/>
      </w:tcPr>
    </w:tblStylePr>
    <w:tblStylePr w:type="band1Horz">
      <w:tblPr/>
      <w:tcPr>
        <w:shd w:val="clear" w:color="auto" w:fill="E7E7E7" w:themeFill="text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6FA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8F1" w:themeFill="accent1" w:themeFillTint="3f"/>
      </w:tcPr>
    </w:tblStylePr>
    <w:tblStylePr w:type="band1Horz">
      <w:tblPr/>
      <w:tcPr>
        <w:shd w:val="clear" w:color="auto" w:fill="E9EDF4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AF5F5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4E3" w:themeFill="accent2" w:themeFillTint="3f"/>
      </w:tcPr>
    </w:tblStylePr>
    <w:tblStylePr w:type="band1Horz">
      <w:tblPr/>
      <w:tcPr>
        <w:shd w:val="clear" w:color="auto" w:fill="F4E9E9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F9F5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0E4" w:themeFill="accent3" w:themeFillTint="3f"/>
      </w:tcPr>
    </w:tblStylePr>
    <w:tblStylePr w:type="band1Horz">
      <w:tblPr/>
      <w:tcPr>
        <w:shd w:val="clear" w:color="auto" w:fill="EFF3EA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6F5F8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5EC" w:themeFill="accent4" w:themeFillTint="3f"/>
      </w:tcPr>
    </w:tblStylePr>
    <w:tblStylePr w:type="band1Horz">
      <w:tblPr/>
      <w:tcPr>
        <w:shd w:val="clear" w:color="auto" w:fill="EDEAF0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FA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EF3" w:themeFill="accent5" w:themeFillTint="3f"/>
      </w:tcPr>
    </w:tblStylePr>
    <w:tblStylePr w:type="band1Horz">
      <w:tblPr/>
      <w:tcPr>
        <w:shd w:val="clear" w:color="auto" w:fill="E9F1F5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7F4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E3" w:themeFill="accent6" w:themeFillTint="3f"/>
      </w:tcPr>
    </w:tblStylePr>
    <w:tblStylePr w:type="band1Horz">
      <w:tblPr/>
      <w:tcPr>
        <w:shd w:val="clear" w:color="auto" w:fill="FDEFE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7E7E7" w:themeFill="text1" w:themeFillTint="33"/>
    </w:tcPr>
    <w:tblStylePr w:type="firstRow">
      <w:rPr>
        <w:b/>
        <w:bCs/>
      </w:rPr>
      <w:tblPr/>
      <w:tcPr>
        <w:shd w:val="clear" w:color="auto" w:fill="CCCCCC" w:themeFill="text1" w:themeFillTint="66"/>
      </w:tcPr>
    </w:tblStylePr>
    <w:tblStylePr w:type="lastRow">
      <w:rPr>
        <w:b/>
        <w:bCs/>
        <w:color w:val="000000"/>
      </w:rPr>
      <w:tblPr/>
      <w:tcPr>
        <w:shd w:val="clear" w:color="auto" w:fill="CCCCCC" w:themeFill="text1" w:themeFillTint="66"/>
      </w:tcPr>
    </w:tblStylePr>
    <w:tblStylePr w:type="firstCol">
      <w:rPr>
        <w:color w:val="FFFFFF"/>
      </w:rPr>
      <w:tblPr/>
      <w:tcPr>
        <w:shd w:val="clear" w:color="auto" w:fill="000000" w:themeFill="text1" w:themeFillShade="bf"/>
      </w:tcPr>
    </w:tblStylePr>
    <w:tblStylePr w:type="lastCol">
      <w:rPr>
        <w:color w:val="FFFFFF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BDBDBD" w:themeFill="text1" w:themeFillTint="7f"/>
      </w:tcPr>
    </w:tblStylePr>
    <w:tblStylePr w:type="band1Horz">
      <w:tblPr/>
      <w:tcPr>
        <w:shd w:val="clear" w:color="auto" w:fill="BDBDBD" w:themeFill="text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9EDF4" w:themeFill="accent1" w:themeFillTint="33"/>
    </w:tcPr>
    <w:tblStylePr w:type="firstRow">
      <w:rPr>
        <w:b/>
        <w:bCs/>
      </w:rPr>
      <w:tblPr/>
      <w:tcPr>
        <w:shd w:val="clear" w:color="auto" w:fill="D0D8E8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D0D8E8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C2CDE1" w:themeFill="accent1" w:themeFillTint="7f"/>
      </w:tcPr>
    </w:tblStylePr>
    <w:tblStylePr w:type="band1Horz">
      <w:tblPr/>
      <w:tcPr>
        <w:shd w:val="clear" w:color="auto" w:fill="C2CDE1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4E9E9" w:themeFill="accent2" w:themeFillTint="33"/>
    </w:tcPr>
    <w:tblStylePr w:type="firstRow">
      <w:rPr>
        <w:b/>
        <w:bCs/>
      </w:rPr>
      <w:tblPr/>
      <w:tcPr>
        <w:shd w:val="clear" w:color="auto" w:fill="E8D0D0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8D0D0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E2C3C2" w:themeFill="accent2" w:themeFillTint="7f"/>
      </w:tcPr>
    </w:tblStylePr>
    <w:tblStylePr w:type="band1Horz">
      <w:tblPr/>
      <w:tcPr>
        <w:shd w:val="clear" w:color="auto" w:fill="E2C3C2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F3EA" w:themeFill="accent3" w:themeFillTint="33"/>
    </w:tcPr>
    <w:tblStylePr w:type="firstRow">
      <w:rPr>
        <w:b/>
        <w:bCs/>
      </w:rPr>
      <w:tblPr/>
      <w:tcPr>
        <w:shd w:val="clear" w:color="auto" w:fill="DEE7D1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EE7D1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D5E0C4" w:themeFill="accent3" w:themeFillTint="7f"/>
      </w:tcPr>
    </w:tblStylePr>
    <w:tblStylePr w:type="band1Horz">
      <w:tblPr/>
      <w:tcPr>
        <w:shd w:val="clear" w:color="auto" w:fill="D5E0C4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EAF0" w:themeFill="accent4" w:themeFillTint="33"/>
    </w:tcPr>
    <w:tblStylePr w:type="firstRow">
      <w:rPr>
        <w:b/>
        <w:bCs/>
      </w:rPr>
      <w:tblPr/>
      <w:tcPr>
        <w:shd w:val="clear" w:color="auto" w:fill="D8D3E0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D8D3E0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CDC6D7" w:themeFill="accent4" w:themeFillTint="7f"/>
      </w:tcPr>
    </w:tblStylePr>
    <w:tblStylePr w:type="band1Horz">
      <w:tblPr/>
      <w:tcPr>
        <w:shd w:val="clear" w:color="auto" w:fill="CDC6D7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9F1F5" w:themeFill="accent5" w:themeFillTint="33"/>
    </w:tcPr>
    <w:tblStylePr w:type="firstRow">
      <w:rPr>
        <w:b/>
        <w:bCs/>
      </w:rPr>
      <w:tblPr/>
      <w:tcPr>
        <w:shd w:val="clear" w:color="auto" w:fill="D0E3EA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D0E3EA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C2DBE5" w:themeFill="accent5" w:themeFillTint="7f"/>
      </w:tcPr>
    </w:tblStylePr>
    <w:tblStylePr w:type="band1Horz">
      <w:tblPr/>
      <w:tcPr>
        <w:shd w:val="clear" w:color="auto" w:fill="C2DBE5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FE9" w:themeFill="accent6" w:themeFillTint="33"/>
    </w:tcPr>
    <w:tblStylePr w:type="firstRow">
      <w:rPr>
        <w:b/>
        <w:bCs/>
      </w:rPr>
      <w:tblPr/>
      <w:tcPr>
        <w:shd w:val="clear" w:color="auto" w:fill="FCDDCF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CDDCF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D3C1" w:themeFill="accent6" w:themeFillTint="7f"/>
      </w:tcPr>
    </w:tblStylePr>
    <w:tblStylePr w:type="band1Horz">
      <w:tblPr/>
      <w:tcPr>
        <w:shd w:val="clear" w:color="auto" w:fill="FBD3C1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7" Type="http://schemas.openxmlformats.org/officeDocument/2006/relationships/image" Target="media/image1.png" /><Relationship Id="rId20" Type="http://schemas.openxmlformats.org/officeDocument/2006/relationships/image" Target="media/image2.png" /><Relationship Id="rId19" Type="http://schemas.openxmlformats.org/officeDocument/2006/relationships/image" Target="media/image3.png" /><Relationship Id="rId18" Type="http://schemas.openxmlformats.org/officeDocument/2006/relationships/image" Target="media/image4.png" /><Relationship Id="rId35" Type="http://schemas.openxmlformats.org/officeDocument/2006/relationships/image" Target="media/image5.png" /><Relationship Id="rId34" Type="http://schemas.openxmlformats.org/officeDocument/2006/relationships/image" Target="media/image6.png" /><Relationship Id="rId36" Type="http://schemas.openxmlformats.org/officeDocument/2006/relationships/image" Target="media/image7.png" /><Relationship Id="rId26" Type="http://schemas.openxmlformats.org/officeDocument/2006/relationships/image" Target="media/image8.png" /><Relationship Id="rId27" Type="http://schemas.openxmlformats.org/officeDocument/2006/relationships/image" Target="media/image9.png" /><Relationship Id="rId28" Type="http://schemas.openxmlformats.org/officeDocument/2006/relationships/image" Target="media/image10.png" /><Relationship Id="rId37" Type="http://schemas.openxmlformats.org/officeDocument/2006/relationships/image" Target="media/image11.png" /><Relationship Id="rId31" Type="http://schemas.openxmlformats.org/officeDocument/2006/relationships/image" Target="media/image12.png" /><Relationship Id="rId32" Type="http://schemas.openxmlformats.org/officeDocument/2006/relationships/image" Target="media/image13.png" /><Relationship Id="rId33" Type="http://schemas.openxmlformats.org/officeDocument/2006/relationships/image" Target="media/image14.png" /><Relationship Id="rId46" Type="http://schemas.openxmlformats.org/officeDocument/2006/relationships/image" Target="media/image15.png" /><Relationship Id="rId45" Type="http://schemas.openxmlformats.org/officeDocument/2006/relationships/image" Target="media/image16.png" /><Relationship Id="rId47" Type="http://schemas.openxmlformats.org/officeDocument/2006/relationships/image" Target="media/image17.png" /><Relationship Id="rId50" Type="http://schemas.openxmlformats.org/officeDocument/2006/relationships/image" Target="media/image18.png" /><Relationship Id="rId49" Type="http://schemas.openxmlformats.org/officeDocument/2006/relationships/image" Target="media/image19.png" /><Relationship Id="rId48" Type="http://schemas.openxmlformats.org/officeDocument/2006/relationships/image" Target="media/image20.png" /><Relationship Id="rId44" Type="http://schemas.openxmlformats.org/officeDocument/2006/relationships/image" Target="media/image21.png" /><Relationship Id="rId23" Type="http://schemas.openxmlformats.org/officeDocument/2006/relationships/image" Target="media/image22.png" /><Relationship Id="rId22" Type="http://schemas.openxmlformats.org/officeDocument/2006/relationships/image" Target="media/image23.png" /><Relationship Id="rId25" Type="http://schemas.openxmlformats.org/officeDocument/2006/relationships/image" Target="media/image24.png" /><Relationship Id="rId24" Type="http://schemas.openxmlformats.org/officeDocument/2006/relationships/image" Target="media/image25.png" /><Relationship Id="rId29" Type="http://schemas.openxmlformats.org/officeDocument/2006/relationships/image" Target="media/image26.png" /><Relationship Id="rId30" Type="http://schemas.openxmlformats.org/officeDocument/2006/relationships/image" Target="media/image27.png" /><Relationship Id="rId21" Type="http://schemas.openxmlformats.org/officeDocument/2006/relationships/image" Target="media/image28.png" /><Relationship Id="rId1" Type="http://schemas.openxmlformats.org/officeDocument/2006/relationships/image" Target="media/image29.png" /><Relationship Id="rId2" Type="http://schemas.openxmlformats.org/officeDocument/2006/relationships/image" Target="media/image30.png" /><Relationship Id="rId3" Type="http://schemas.openxmlformats.org/officeDocument/2006/relationships/image" Target="media/image31.png" /><Relationship Id="rId5" Type="http://schemas.openxmlformats.org/officeDocument/2006/relationships/image" Target="media/image32.png" /><Relationship Id="rId4" Type="http://schemas.openxmlformats.org/officeDocument/2006/relationships/image" Target="media/image33.png" /><Relationship Id="rId6" Type="http://schemas.openxmlformats.org/officeDocument/2006/relationships/image" Target="media/image34.png" /><Relationship Id="rId8" Type="http://schemas.openxmlformats.org/officeDocument/2006/relationships/image" Target="media/image35.png" /><Relationship Id="rId7" Type="http://schemas.openxmlformats.org/officeDocument/2006/relationships/image" Target="media/image36.png" /><Relationship Id="rId10" Type="http://schemas.openxmlformats.org/officeDocument/2006/relationships/image" Target="media/image37.png" /><Relationship Id="rId9" Type="http://schemas.openxmlformats.org/officeDocument/2006/relationships/image" Target="media/image38.png" /><Relationship Id="rId11" Type="http://schemas.openxmlformats.org/officeDocument/2006/relationships/image" Target="media/image39.png" /><Relationship Id="rId12" Type="http://schemas.openxmlformats.org/officeDocument/2006/relationships/image" Target="media/image40.png" /><Relationship Id="rId14" Type="http://schemas.openxmlformats.org/officeDocument/2006/relationships/image" Target="media/image41.png" /><Relationship Id="rId13" Type="http://schemas.openxmlformats.org/officeDocument/2006/relationships/image" Target="media/image42.png" /><Relationship Id="rId15" Type="http://schemas.openxmlformats.org/officeDocument/2006/relationships/image" Target="media/image43.png" /><Relationship Id="rId16" Type="http://schemas.openxmlformats.org/officeDocument/2006/relationships/image" Target="media/image44.png" /><Relationship Id="rId40" Type="http://schemas.openxmlformats.org/officeDocument/2006/relationships/image" Target="media/image45.png" /><Relationship Id="rId38" Type="http://schemas.openxmlformats.org/officeDocument/2006/relationships/image" Target="media/image46.png" /><Relationship Id="rId39" Type="http://schemas.openxmlformats.org/officeDocument/2006/relationships/image" Target="media/image47.png" /><Relationship Id="rId43" Type="http://schemas.openxmlformats.org/officeDocument/2006/relationships/image" Target="media/image48.png" /><Relationship Id="rId42" Type="http://schemas.openxmlformats.org/officeDocument/2006/relationships/image" Target="media/image49.png" /><Relationship Id="rId41" Type="http://schemas.openxmlformats.org/officeDocument/2006/relationships/image" Target="media/image50.png" /><Relationship Id="rId51" Type="http://schemas.openxmlformats.org/officeDocument/2006/relationships/styles" Target="styles.xml" /><Relationship Id="rId52" Type="http://schemas.openxmlformats.org/officeDocument/2006/relationships/settings" Target="settings.xml" /><Relationship Id="rId53" Type="http://schemas.openxmlformats.org/officeDocument/2006/relationships/fontTable" Target="fontTable.xml" /><Relationship Id="rId54" Type="http://schemas.openxmlformats.org/officeDocument/2006/relationships/webSettings" Target="webSettings.xml" /><Relationship Id="rId5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toozi</cp:lastModifiedBy>
  <cp:revision>1</cp:revision>
  <dcterms:created xsi:type="dcterms:W3CDTF">2013-12-23T23:15:00Z</dcterms:created>
  <dcterms:modified xsi:type="dcterms:W3CDTF">2025-05-02T14:39:58Z</dcterms:modified>
  <cp:version>1300.0100.01</cp:version>
</cp:coreProperties>
</file>