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F3864"/>
          <w:sz w:val="52"/>
          <w:szCs w:val="52"/>
        </w:rPr>
        <w:t xml:space="preserve">IMDb Movie Data Analysis</w:t>
      </w:r>
    </w:p>
    <w:p>
      <w:pPr>
        <w:spacing w:after="400"/>
        <w:jc w:val="center"/>
      </w:pPr>
      <w:r>
        <w:rPr>
          <w:i/>
          <w:iCs/>
          <w:color w:val="2E5090"/>
          <w:sz w:val="26"/>
          <w:szCs w:val="26"/>
        </w:rPr>
        <w:t xml:space="preserve">Exploratory Data Analysis of 1,000 Popular Movies (2006–2016)</w:t>
      </w:r>
    </w:p>
    <w:p>
      <w:pPr>
        <w:spacing w:after="1000"/>
        <w:jc w:val="center"/>
      </w:pPr>
      <w:r>
        <w:rPr>
          <w:color w:val="595959"/>
          <w:sz w:val="20"/>
          <w:szCs w:val="20"/>
        </w:rPr>
        <w:t xml:space="preserve">Prepared using Python (pandas, seaborn, matplotlib)</w:t>
      </w:r>
    </w:p>
    <w:p>
      <w:pPr>
        <w:pStyle w:val="Heading1"/>
        <w:spacing w:after="200" w:before="400"/>
      </w:pPr>
      <w:r>
        <w:rPr>
          <w:b/>
          <w:bCs/>
          <w:color w:val="1F3864"/>
        </w:rPr>
        <w:t xml:space="preserve">1. Introduction</w:t>
      </w:r>
    </w:p>
    <w:p>
      <w:pPr>
        <w:spacing w:after="200" w:line="300"/>
      </w:pPr>
      <w:r>
        <w:rPr>
          <w:sz w:val="22"/>
          <w:szCs w:val="22"/>
        </w:rPr>
        <w:t xml:space="preserve">This report presents an exploratory data analysis (EDA) of a dataset of 1,000 popular movies released between 2006 and 2016, sourced from IMDb. The goal is to uncover patterns in audience ratings, genre popularity, runtime, box office revenue, and how these metrics relate to one another and change over time.</w:t>
      </w:r>
    </w:p>
    <w:p>
      <w:pPr>
        <w:spacing w:after="200" w:line="300"/>
      </w:pPr>
      <w:r>
        <w:rPr>
          <w:sz w:val="22"/>
          <w:szCs w:val="22"/>
        </w:rPr>
        <w:t xml:space="preserve">The dataset contains 1000 movies spanning 2006–2016, covering 644 unique directors. Key fields analyzed include Title, Genre, Director, Actors, Year, Runtime, IMDb Rating, Votes, Revenue, and Metascore.</w:t>
      </w:r>
    </w:p>
    <w:p>
      <w:pPr>
        <w:pStyle w:val="Heading1"/>
        <w:spacing w:after="200" w:before="400"/>
      </w:pPr>
      <w:r>
        <w:rPr>
          <w:b/>
          <w:bCs/>
          <w:color w:val="1F3864"/>
        </w:rPr>
        <w:t xml:space="preserve">2. Key Metrics at a Glance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pct" w:w="25%"/>
            <w:shd w:fill="F2F5FA" w:val="clear"/>
            <w:tcMar>
              <w:top w:type="dxa" w:w="120"/>
              <w:left w:type="dxa" w:w="120"/>
              <w:bottom w:type="dxa" w:w="120"/>
              <w:right w:type="dxa" w:w="120"/>
            </w:tcMar>
          </w:tcPr>
          <w:p>
            <w:pPr>
              <w:jc w:val="center"/>
            </w:pPr>
            <w:r>
              <w:rPr>
                <w:b/>
                <w:bCs/>
                <w:color w:val="1F3864"/>
                <w:sz w:val="26"/>
                <w:szCs w:val="26"/>
              </w:rPr>
              <w:t xml:space="preserve">1000</w:t>
            </w:r>
          </w:p>
          <w:p>
            <w:pPr>
              <w:jc w:val="center"/>
            </w:pPr>
            <w:r>
              <w:rPr>
                <w:color w:val="595959"/>
                <w:sz w:val="16"/>
                <w:szCs w:val="16"/>
              </w:rPr>
              <w:t xml:space="preserve">Movies Analyzed</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6.72</w:t>
            </w:r>
          </w:p>
          <w:p>
            <w:pPr>
              <w:jc w:val="center"/>
            </w:pPr>
            <w:r>
              <w:rPr>
                <w:color w:val="595959"/>
                <w:sz w:val="16"/>
                <w:szCs w:val="16"/>
              </w:rPr>
              <w:t xml:space="preserve">Average Rating</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6.8</w:t>
            </w:r>
          </w:p>
          <w:p>
            <w:pPr>
              <w:jc w:val="center"/>
            </w:pPr>
            <w:r>
              <w:rPr>
                <w:color w:val="595959"/>
                <w:sz w:val="16"/>
                <w:szCs w:val="16"/>
              </w:rPr>
              <w:t xml:space="preserve">Median Rating</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113.2 min</w:t>
            </w:r>
          </w:p>
          <w:p>
            <w:pPr>
              <w:jc w:val="center"/>
            </w:pPr>
            <w:r>
              <w:rPr>
                <w:color w:val="595959"/>
                <w:sz w:val="16"/>
                <w:szCs w:val="16"/>
              </w:rPr>
              <w:t xml:space="preserve">Avg. Runtime</w:t>
            </w:r>
          </w:p>
        </w:tc>
      </w:tr>
      <w:tr>
        <w:tc>
          <w:tcPr>
            <w:tcW w:type="pct" w:w="25%"/>
            <w:shd w:fill="F2F5FA" w:val="clear"/>
            <w:tcMar>
              <w:top w:type="dxa" w:w="120"/>
              <w:left w:type="dxa" w:w="120"/>
              <w:bottom w:type="dxa" w:w="120"/>
              <w:right w:type="dxa" w:w="120"/>
            </w:tcMar>
          </w:tcPr>
          <w:p>
            <w:pPr>
              <w:jc w:val="center"/>
            </w:pPr>
            <w:r>
              <w:rPr>
                <w:b/>
                <w:bCs/>
                <w:color w:val="1F3864"/>
                <w:sz w:val="26"/>
                <w:szCs w:val="26"/>
              </w:rPr>
              <w:t xml:space="preserve">$83.1M</w:t>
            </w:r>
          </w:p>
          <w:p>
            <w:pPr>
              <w:jc w:val="center"/>
            </w:pPr>
            <w:r>
              <w:rPr>
                <w:color w:val="595959"/>
                <w:sz w:val="16"/>
                <w:szCs w:val="16"/>
              </w:rPr>
              <w:t xml:space="preserve">Avg. Revenue</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129 movies</w:t>
            </w:r>
          </w:p>
          <w:p>
            <w:pPr>
              <w:jc w:val="center"/>
            </w:pPr>
            <w:r>
              <w:rPr>
                <w:color w:val="595959"/>
                <w:sz w:val="16"/>
                <w:szCs w:val="16"/>
              </w:rPr>
              <w:t xml:space="preserve">Missing Revenue</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644</w:t>
            </w:r>
          </w:p>
          <w:p>
            <w:pPr>
              <w:jc w:val="center"/>
            </w:pPr>
            <w:r>
              <w:rPr>
                <w:color w:val="595959"/>
                <w:sz w:val="16"/>
                <w:szCs w:val="16"/>
              </w:rPr>
              <w:t xml:space="preserve">Unique Directors</w:t>
            </w:r>
          </w:p>
        </w:tc>
        <w:tc>
          <w:tcPr>
            <w:tcW w:type="pct" w:w="25%"/>
            <w:shd w:fill="F2F5FA" w:val="clear"/>
            <w:tcMar>
              <w:top w:type="dxa" w:w="120"/>
              <w:left w:type="dxa" w:w="120"/>
              <w:bottom w:type="dxa" w:w="120"/>
              <w:right w:type="dxa" w:w="120"/>
            </w:tcMar>
          </w:tcPr>
          <w:p>
            <w:pPr>
              <w:jc w:val="center"/>
            </w:pPr>
            <w:r>
              <w:rPr>
                <w:b/>
                <w:bCs/>
                <w:color w:val="1F3864"/>
                <w:sz w:val="26"/>
                <w:szCs w:val="26"/>
              </w:rPr>
              <w:t xml:space="preserve">Action</w:t>
            </w:r>
          </w:p>
          <w:p>
            <w:pPr>
              <w:jc w:val="center"/>
            </w:pPr>
            <w:r>
              <w:rPr>
                <w:color w:val="595959"/>
                <w:sz w:val="16"/>
                <w:szCs w:val="16"/>
              </w:rPr>
              <w:t xml:space="preserve">Top Genre</w:t>
            </w:r>
          </w:p>
        </w:tc>
      </w:tr>
    </w:tbl>
    <w:p>
      <w:pPr>
        <w:spacing w:after="200" w:line="300"/>
      </w:pPr>
      <w:r>
        <w:rPr>
          <w:sz w:val="22"/>
          <w:szCs w:val="22"/>
        </w:rPr>
        <w:t xml:space="preserve"> </w:t>
      </w:r>
    </w:p>
    <w:p>
      <w:pPr>
        <w:pStyle w:val="Heading1"/>
        <w:spacing w:after="200" w:before="400"/>
      </w:pPr>
      <w:r>
        <w:rPr>
          <w:b/>
          <w:bCs/>
          <w:color w:val="1F3864"/>
        </w:rPr>
        <w:t xml:space="preserve">3. Ratings Analysis</w:t>
      </w:r>
    </w:p>
    <w:p>
      <w:pPr>
        <w:pStyle w:val="Heading2"/>
        <w:spacing w:after="150" w:before="300"/>
      </w:pPr>
      <w:r>
        <w:rPr>
          <w:b/>
          <w:bCs/>
          <w:color w:val="2E5090"/>
        </w:rPr>
        <w:t xml:space="preserve">3.1 Distribution of IMDb Ratings</w:t>
      </w:r>
    </w:p>
    <w:p>
      <w:pPr>
        <w:spacing w:after="200" w:line="300"/>
      </w:pPr>
      <w:r>
        <w:rPr>
          <w:sz w:val="22"/>
          <w:szCs w:val="22"/>
        </w:rPr>
        <w:t xml:space="preserve">Ratings are approximately bell-shaped and centred around the mid-to-high 6s, which reflects the fact that this dataset is already filtered to "popular" movies rather than a random sample of all titles on IMDb — very poorly rated films are underrepresented.</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1. Distribution of IMDb ratings across all 1,000 movies.</w:t>
      </w:r>
    </w:p>
    <w:p>
      <w:pPr>
        <w:pStyle w:val="Heading2"/>
        <w:spacing w:after="150" w:before="300"/>
      </w:pPr>
      <w:r>
        <w:rPr>
          <w:b/>
          <w:bCs/>
          <w:color w:val="2E5090"/>
        </w:rPr>
        <w:t xml:space="preserve">3.2 Ratings Over Time</w:t>
      </w:r>
    </w:p>
    <w:p>
      <w:pPr>
        <w:spacing w:after="200" w:line="300"/>
      </w:pPr>
      <w:r>
        <w:rPr>
          <w:sz w:val="22"/>
          <w:szCs w:val="22"/>
        </w:rPr>
        <w:t xml:space="preserve">Average ratings stay fairly stable across the decade, with modest year-to-year fluctuation rather than a clear upward or downward trend. The number of movies released per year in the dataset also varies, which should be kept in mind when comparing individual years.</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2. Average IMDb rating by release year.</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3. Number of movies released per year in the dataset.</w:t>
      </w:r>
    </w:p>
    <w:p>
      <w:pPr>
        <w:pStyle w:val="Heading2"/>
        <w:spacing w:after="150" w:before="300"/>
      </w:pPr>
      <w:r>
        <w:rPr>
          <w:b/>
          <w:bCs/>
          <w:color w:val="2E5090"/>
        </w:rPr>
        <w:t xml:space="preserve">3.3 Top-Rated Movies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200"/>
        <w:gridCol w:w="1800"/>
        <w:gridCol w:w="1800"/>
      </w:tblGrid>
      <w:tr>
        <w:trPr>
          <w:tblHeader/>
        </w:trPr>
        <w:tc>
          <w:tcPr>
            <w:tcW w:type="dxa" w:w="3200"/>
            <w:shd w:fill="1F3864" w:val="clear"/>
            <w:tcMar>
              <w:top w:type="dxa" w:w="80"/>
              <w:left w:type="dxa" w:w="100"/>
              <w:bottom w:type="dxa" w:w="80"/>
              <w:right w:type="dxa" w:w="100"/>
            </w:tcMar>
          </w:tcPr>
          <w:p>
            <w:r>
              <w:rPr>
                <w:b/>
                <w:bCs/>
                <w:color w:val="FFFFFF"/>
                <w:sz w:val="18"/>
                <w:szCs w:val="18"/>
              </w:rPr>
              <w:t xml:space="preserve">Title</w:t>
            </w:r>
          </w:p>
        </w:tc>
        <w:tc>
          <w:tcPr>
            <w:tcW w:type="dxa" w:w="1000"/>
            <w:shd w:fill="1F3864" w:val="clear"/>
            <w:tcMar>
              <w:top w:type="dxa" w:w="80"/>
              <w:left w:type="dxa" w:w="100"/>
              <w:bottom w:type="dxa" w:w="80"/>
              <w:right w:type="dxa" w:w="100"/>
            </w:tcMar>
          </w:tcPr>
          <w:p>
            <w:r>
              <w:rPr>
                <w:b/>
                <w:bCs/>
                <w:color w:val="FFFFFF"/>
                <w:sz w:val="18"/>
                <w:szCs w:val="18"/>
              </w:rPr>
              <w:t xml:space="preserve">Year</w:t>
            </w:r>
          </w:p>
        </w:tc>
        <w:tc>
          <w:tcPr>
            <w:tcW w:type="dxa" w:w="1200"/>
            <w:shd w:fill="1F3864" w:val="clear"/>
            <w:tcMar>
              <w:top w:type="dxa" w:w="80"/>
              <w:left w:type="dxa" w:w="100"/>
              <w:bottom w:type="dxa" w:w="80"/>
              <w:right w:type="dxa" w:w="100"/>
            </w:tcMar>
          </w:tcPr>
          <w:p>
            <w:r>
              <w:rPr>
                <w:b/>
                <w:bCs/>
                <w:color w:val="FFFFFF"/>
                <w:sz w:val="18"/>
                <w:szCs w:val="18"/>
              </w:rPr>
              <w:t xml:space="preserve">Rating</w:t>
            </w:r>
          </w:p>
        </w:tc>
        <w:tc>
          <w:tcPr>
            <w:tcW w:type="dxa" w:w="1800"/>
            <w:shd w:fill="1F3864" w:val="clear"/>
            <w:tcMar>
              <w:top w:type="dxa" w:w="80"/>
              <w:left w:type="dxa" w:w="100"/>
              <w:bottom w:type="dxa" w:w="80"/>
              <w:right w:type="dxa" w:w="100"/>
            </w:tcMar>
          </w:tcPr>
          <w:p>
            <w:r>
              <w:rPr>
                <w:b/>
                <w:bCs/>
                <w:color w:val="FFFFFF"/>
                <w:sz w:val="18"/>
                <w:szCs w:val="18"/>
              </w:rPr>
              <w:t xml:space="preserve">Votes</w:t>
            </w:r>
          </w:p>
        </w:tc>
        <w:tc>
          <w:tcPr>
            <w:tcW w:type="dxa" w:w="1800"/>
            <w:shd w:fill="1F3864" w:val="clear"/>
            <w:tcMar>
              <w:top w:type="dxa" w:w="80"/>
              <w:left w:type="dxa" w:w="100"/>
              <w:bottom w:type="dxa" w:w="80"/>
              <w:right w:type="dxa" w:w="100"/>
            </w:tcMar>
          </w:tcPr>
          <w:p>
            <w:r>
              <w:rPr>
                <w:b/>
                <w:bCs/>
                <w:color w:val="FFFFFF"/>
                <w:sz w:val="18"/>
                <w:szCs w:val="18"/>
              </w:rPr>
              <w:t xml:space="preserve">Director</w:t>
            </w:r>
          </w:p>
        </w:tc>
      </w:tr>
      <w:tr>
        <w:tc>
          <w:tcPr>
            <w:tcW w:type="dxa" w:w="3200"/>
            <w:shd w:fill="FFFFFF" w:val="clear"/>
            <w:tcMar>
              <w:top w:type="dxa" w:w="70"/>
              <w:left w:type="dxa" w:w="100"/>
              <w:bottom w:type="dxa" w:w="70"/>
              <w:right w:type="dxa" w:w="100"/>
            </w:tcMar>
          </w:tcPr>
          <w:p>
            <w:r>
              <w:rPr>
                <w:sz w:val="18"/>
                <w:szCs w:val="18"/>
              </w:rPr>
              <w:t xml:space="preserve">The Dark Knight</w:t>
            </w:r>
          </w:p>
        </w:tc>
        <w:tc>
          <w:tcPr>
            <w:tcW w:type="dxa" w:w="1000"/>
            <w:shd w:fill="FFFFFF" w:val="clear"/>
            <w:tcMar>
              <w:top w:type="dxa" w:w="70"/>
              <w:left w:type="dxa" w:w="100"/>
              <w:bottom w:type="dxa" w:w="70"/>
              <w:right w:type="dxa" w:w="100"/>
            </w:tcMar>
          </w:tcPr>
          <w:p>
            <w:r>
              <w:rPr>
                <w:sz w:val="18"/>
                <w:szCs w:val="18"/>
              </w:rPr>
              <w:t xml:space="preserve">2008</w:t>
            </w:r>
          </w:p>
        </w:tc>
        <w:tc>
          <w:tcPr>
            <w:tcW w:type="dxa" w:w="1200"/>
            <w:shd w:fill="FFFFFF" w:val="clear"/>
            <w:tcMar>
              <w:top w:type="dxa" w:w="70"/>
              <w:left w:type="dxa" w:w="100"/>
              <w:bottom w:type="dxa" w:w="70"/>
              <w:right w:type="dxa" w:w="100"/>
            </w:tcMar>
          </w:tcPr>
          <w:p>
            <w:r>
              <w:rPr>
                <w:sz w:val="18"/>
                <w:szCs w:val="18"/>
              </w:rPr>
              <w:t xml:space="preserve">9.0</w:t>
            </w:r>
          </w:p>
        </w:tc>
        <w:tc>
          <w:tcPr>
            <w:tcW w:type="dxa" w:w="1800"/>
            <w:shd w:fill="FFFFFF" w:val="clear"/>
            <w:tcMar>
              <w:top w:type="dxa" w:w="70"/>
              <w:left w:type="dxa" w:w="100"/>
              <w:bottom w:type="dxa" w:w="70"/>
              <w:right w:type="dxa" w:w="100"/>
            </w:tcMar>
          </w:tcPr>
          <w:p>
            <w:r>
              <w:rPr>
                <w:sz w:val="18"/>
                <w:szCs w:val="18"/>
              </w:rPr>
              <w:t xml:space="preserve">1,791,916</w:t>
            </w:r>
          </w:p>
        </w:tc>
        <w:tc>
          <w:tcPr>
            <w:tcW w:type="dxa" w:w="1800"/>
            <w:shd w:fill="FFFFFF" w:val="clear"/>
            <w:tcMar>
              <w:top w:type="dxa" w:w="70"/>
              <w:left w:type="dxa" w:w="100"/>
              <w:bottom w:type="dxa" w:w="70"/>
              <w:right w:type="dxa" w:w="100"/>
            </w:tcMar>
          </w:tcPr>
          <w:p>
            <w:r>
              <w:rPr>
                <w:sz w:val="18"/>
                <w:szCs w:val="18"/>
              </w:rPr>
              <w:t xml:space="preserve">Christopher Nolan</w:t>
            </w:r>
          </w:p>
        </w:tc>
      </w:tr>
      <w:tr>
        <w:tc>
          <w:tcPr>
            <w:tcW w:type="dxa" w:w="3200"/>
            <w:shd w:fill="F2F5FA" w:val="clear"/>
            <w:tcMar>
              <w:top w:type="dxa" w:w="70"/>
              <w:left w:type="dxa" w:w="100"/>
              <w:bottom w:type="dxa" w:w="70"/>
              <w:right w:type="dxa" w:w="100"/>
            </w:tcMar>
          </w:tcPr>
          <w:p>
            <w:r>
              <w:rPr>
                <w:sz w:val="18"/>
                <w:szCs w:val="18"/>
              </w:rPr>
              <w:t xml:space="preserve">Inception</w:t>
            </w:r>
          </w:p>
        </w:tc>
        <w:tc>
          <w:tcPr>
            <w:tcW w:type="dxa" w:w="1000"/>
            <w:shd w:fill="F2F5FA" w:val="clear"/>
            <w:tcMar>
              <w:top w:type="dxa" w:w="70"/>
              <w:left w:type="dxa" w:w="100"/>
              <w:bottom w:type="dxa" w:w="70"/>
              <w:right w:type="dxa" w:w="100"/>
            </w:tcMar>
          </w:tcPr>
          <w:p>
            <w:r>
              <w:rPr>
                <w:sz w:val="18"/>
                <w:szCs w:val="18"/>
              </w:rPr>
              <w:t xml:space="preserve">2010</w:t>
            </w:r>
          </w:p>
        </w:tc>
        <w:tc>
          <w:tcPr>
            <w:tcW w:type="dxa" w:w="1200"/>
            <w:shd w:fill="F2F5FA" w:val="clear"/>
            <w:tcMar>
              <w:top w:type="dxa" w:w="70"/>
              <w:left w:type="dxa" w:w="100"/>
              <w:bottom w:type="dxa" w:w="70"/>
              <w:right w:type="dxa" w:w="100"/>
            </w:tcMar>
          </w:tcPr>
          <w:p>
            <w:r>
              <w:rPr>
                <w:sz w:val="18"/>
                <w:szCs w:val="18"/>
              </w:rPr>
              <w:t xml:space="preserve">8.8</w:t>
            </w:r>
          </w:p>
        </w:tc>
        <w:tc>
          <w:tcPr>
            <w:tcW w:type="dxa" w:w="1800"/>
            <w:shd w:fill="F2F5FA" w:val="clear"/>
            <w:tcMar>
              <w:top w:type="dxa" w:w="70"/>
              <w:left w:type="dxa" w:w="100"/>
              <w:bottom w:type="dxa" w:w="70"/>
              <w:right w:type="dxa" w:w="100"/>
            </w:tcMar>
          </w:tcPr>
          <w:p>
            <w:r>
              <w:rPr>
                <w:sz w:val="18"/>
                <w:szCs w:val="18"/>
              </w:rPr>
              <w:t xml:space="preserve">1,583,625</w:t>
            </w:r>
          </w:p>
        </w:tc>
        <w:tc>
          <w:tcPr>
            <w:tcW w:type="dxa" w:w="1800"/>
            <w:shd w:fill="F2F5FA" w:val="clear"/>
            <w:tcMar>
              <w:top w:type="dxa" w:w="70"/>
              <w:left w:type="dxa" w:w="100"/>
              <w:bottom w:type="dxa" w:w="70"/>
              <w:right w:type="dxa" w:w="100"/>
            </w:tcMar>
          </w:tcPr>
          <w:p>
            <w:r>
              <w:rPr>
                <w:sz w:val="18"/>
                <w:szCs w:val="18"/>
              </w:rPr>
              <w:t xml:space="preserve">Christopher Nolan</w:t>
            </w:r>
          </w:p>
        </w:tc>
      </w:tr>
      <w:tr>
        <w:tc>
          <w:tcPr>
            <w:tcW w:type="dxa" w:w="3200"/>
            <w:shd w:fill="FFFFFF" w:val="clear"/>
            <w:tcMar>
              <w:top w:type="dxa" w:w="70"/>
              <w:left w:type="dxa" w:w="100"/>
              <w:bottom w:type="dxa" w:w="70"/>
              <w:right w:type="dxa" w:w="100"/>
            </w:tcMar>
          </w:tcPr>
          <w:p>
            <w:r>
              <w:rPr>
                <w:sz w:val="18"/>
                <w:szCs w:val="18"/>
              </w:rPr>
              <w:t xml:space="preserve">Dangal</w:t>
            </w:r>
          </w:p>
        </w:tc>
        <w:tc>
          <w:tcPr>
            <w:tcW w:type="dxa" w:w="1000"/>
            <w:shd w:fill="FFFFFF" w:val="clear"/>
            <w:tcMar>
              <w:top w:type="dxa" w:w="70"/>
              <w:left w:type="dxa" w:w="100"/>
              <w:bottom w:type="dxa" w:w="70"/>
              <w:right w:type="dxa" w:w="100"/>
            </w:tcMar>
          </w:tcPr>
          <w:p>
            <w:r>
              <w:rPr>
                <w:sz w:val="18"/>
                <w:szCs w:val="18"/>
              </w:rPr>
              <w:t xml:space="preserve">2016</w:t>
            </w:r>
          </w:p>
        </w:tc>
        <w:tc>
          <w:tcPr>
            <w:tcW w:type="dxa" w:w="1200"/>
            <w:shd w:fill="FFFFFF" w:val="clear"/>
            <w:tcMar>
              <w:top w:type="dxa" w:w="70"/>
              <w:left w:type="dxa" w:w="100"/>
              <w:bottom w:type="dxa" w:w="70"/>
              <w:right w:type="dxa" w:w="100"/>
            </w:tcMar>
          </w:tcPr>
          <w:p>
            <w:r>
              <w:rPr>
                <w:sz w:val="18"/>
                <w:szCs w:val="18"/>
              </w:rPr>
              <w:t xml:space="preserve">8.8</w:t>
            </w:r>
          </w:p>
        </w:tc>
        <w:tc>
          <w:tcPr>
            <w:tcW w:type="dxa" w:w="1800"/>
            <w:shd w:fill="FFFFFF" w:val="clear"/>
            <w:tcMar>
              <w:top w:type="dxa" w:w="70"/>
              <w:left w:type="dxa" w:w="100"/>
              <w:bottom w:type="dxa" w:w="70"/>
              <w:right w:type="dxa" w:w="100"/>
            </w:tcMar>
          </w:tcPr>
          <w:p>
            <w:r>
              <w:rPr>
                <w:sz w:val="18"/>
                <w:szCs w:val="18"/>
              </w:rPr>
              <w:t xml:space="preserve">48,969</w:t>
            </w:r>
          </w:p>
        </w:tc>
        <w:tc>
          <w:tcPr>
            <w:tcW w:type="dxa" w:w="1800"/>
            <w:shd w:fill="FFFFFF" w:val="clear"/>
            <w:tcMar>
              <w:top w:type="dxa" w:w="70"/>
              <w:left w:type="dxa" w:w="100"/>
              <w:bottom w:type="dxa" w:w="70"/>
              <w:right w:type="dxa" w:w="100"/>
            </w:tcMar>
          </w:tcPr>
          <w:p>
            <w:r>
              <w:rPr>
                <w:sz w:val="18"/>
                <w:szCs w:val="18"/>
              </w:rPr>
              <w:t xml:space="preserve">Nitesh Tiwari</w:t>
            </w:r>
          </w:p>
        </w:tc>
      </w:tr>
      <w:tr>
        <w:tc>
          <w:tcPr>
            <w:tcW w:type="dxa" w:w="3200"/>
            <w:shd w:fill="F2F5FA" w:val="clear"/>
            <w:tcMar>
              <w:top w:type="dxa" w:w="70"/>
              <w:left w:type="dxa" w:w="100"/>
              <w:bottom w:type="dxa" w:w="70"/>
              <w:right w:type="dxa" w:w="100"/>
            </w:tcMar>
          </w:tcPr>
          <w:p>
            <w:r>
              <w:rPr>
                <w:sz w:val="18"/>
                <w:szCs w:val="18"/>
              </w:rPr>
              <w:t xml:space="preserve">Kimi no na wa</w:t>
            </w:r>
          </w:p>
        </w:tc>
        <w:tc>
          <w:tcPr>
            <w:tcW w:type="dxa" w:w="1000"/>
            <w:shd w:fill="F2F5FA" w:val="clear"/>
            <w:tcMar>
              <w:top w:type="dxa" w:w="70"/>
              <w:left w:type="dxa" w:w="100"/>
              <w:bottom w:type="dxa" w:w="70"/>
              <w:right w:type="dxa" w:w="100"/>
            </w:tcMar>
          </w:tcPr>
          <w:p>
            <w:r>
              <w:rPr>
                <w:sz w:val="18"/>
                <w:szCs w:val="18"/>
              </w:rPr>
              <w:t xml:space="preserve">2016</w:t>
            </w:r>
          </w:p>
        </w:tc>
        <w:tc>
          <w:tcPr>
            <w:tcW w:type="dxa" w:w="1200"/>
            <w:shd w:fill="F2F5FA" w:val="clear"/>
            <w:tcMar>
              <w:top w:type="dxa" w:w="70"/>
              <w:left w:type="dxa" w:w="100"/>
              <w:bottom w:type="dxa" w:w="70"/>
              <w:right w:type="dxa" w:w="100"/>
            </w:tcMar>
          </w:tcPr>
          <w:p>
            <w:r>
              <w:rPr>
                <w:sz w:val="18"/>
                <w:szCs w:val="18"/>
              </w:rPr>
              <w:t xml:space="preserve">8.6</w:t>
            </w:r>
          </w:p>
        </w:tc>
        <w:tc>
          <w:tcPr>
            <w:tcW w:type="dxa" w:w="1800"/>
            <w:shd w:fill="F2F5FA" w:val="clear"/>
            <w:tcMar>
              <w:top w:type="dxa" w:w="70"/>
              <w:left w:type="dxa" w:w="100"/>
              <w:bottom w:type="dxa" w:w="70"/>
              <w:right w:type="dxa" w:w="100"/>
            </w:tcMar>
          </w:tcPr>
          <w:p>
            <w:r>
              <w:rPr>
                <w:sz w:val="18"/>
                <w:szCs w:val="18"/>
              </w:rPr>
              <w:t xml:space="preserve">34,110</w:t>
            </w:r>
          </w:p>
        </w:tc>
        <w:tc>
          <w:tcPr>
            <w:tcW w:type="dxa" w:w="1800"/>
            <w:shd w:fill="F2F5FA" w:val="clear"/>
            <w:tcMar>
              <w:top w:type="dxa" w:w="70"/>
              <w:left w:type="dxa" w:w="100"/>
              <w:bottom w:type="dxa" w:w="70"/>
              <w:right w:type="dxa" w:w="100"/>
            </w:tcMar>
          </w:tcPr>
          <w:p>
            <w:r>
              <w:rPr>
                <w:sz w:val="18"/>
                <w:szCs w:val="18"/>
              </w:rPr>
              <w:t xml:space="preserve">Makoto Shinkai</w:t>
            </w:r>
          </w:p>
        </w:tc>
      </w:tr>
      <w:tr>
        <w:tc>
          <w:tcPr>
            <w:tcW w:type="dxa" w:w="3200"/>
            <w:shd w:fill="FFFFFF" w:val="clear"/>
            <w:tcMar>
              <w:top w:type="dxa" w:w="70"/>
              <w:left w:type="dxa" w:w="100"/>
              <w:bottom w:type="dxa" w:w="70"/>
              <w:right w:type="dxa" w:w="100"/>
            </w:tcMar>
          </w:tcPr>
          <w:p>
            <w:r>
              <w:rPr>
                <w:sz w:val="18"/>
                <w:szCs w:val="18"/>
              </w:rPr>
              <w:t xml:space="preserve">Interstellar</w:t>
            </w:r>
          </w:p>
        </w:tc>
        <w:tc>
          <w:tcPr>
            <w:tcW w:type="dxa" w:w="1000"/>
            <w:shd w:fill="FFFFFF" w:val="clear"/>
            <w:tcMar>
              <w:top w:type="dxa" w:w="70"/>
              <w:left w:type="dxa" w:w="100"/>
              <w:bottom w:type="dxa" w:w="70"/>
              <w:right w:type="dxa" w:w="100"/>
            </w:tcMar>
          </w:tcPr>
          <w:p>
            <w:r>
              <w:rPr>
                <w:sz w:val="18"/>
                <w:szCs w:val="18"/>
              </w:rPr>
              <w:t xml:space="preserve">2014</w:t>
            </w:r>
          </w:p>
        </w:tc>
        <w:tc>
          <w:tcPr>
            <w:tcW w:type="dxa" w:w="1200"/>
            <w:shd w:fill="FFFFFF" w:val="clear"/>
            <w:tcMar>
              <w:top w:type="dxa" w:w="70"/>
              <w:left w:type="dxa" w:w="100"/>
              <w:bottom w:type="dxa" w:w="70"/>
              <w:right w:type="dxa" w:w="100"/>
            </w:tcMar>
          </w:tcPr>
          <w:p>
            <w:r>
              <w:rPr>
                <w:sz w:val="18"/>
                <w:szCs w:val="18"/>
              </w:rPr>
              <w:t xml:space="preserve">8.6</w:t>
            </w:r>
          </w:p>
        </w:tc>
        <w:tc>
          <w:tcPr>
            <w:tcW w:type="dxa" w:w="1800"/>
            <w:shd w:fill="FFFFFF" w:val="clear"/>
            <w:tcMar>
              <w:top w:type="dxa" w:w="70"/>
              <w:left w:type="dxa" w:w="100"/>
              <w:bottom w:type="dxa" w:w="70"/>
              <w:right w:type="dxa" w:w="100"/>
            </w:tcMar>
          </w:tcPr>
          <w:p>
            <w:r>
              <w:rPr>
                <w:sz w:val="18"/>
                <w:szCs w:val="18"/>
              </w:rPr>
              <w:t xml:space="preserve">1,047,747</w:t>
            </w:r>
          </w:p>
        </w:tc>
        <w:tc>
          <w:tcPr>
            <w:tcW w:type="dxa" w:w="1800"/>
            <w:shd w:fill="FFFFFF" w:val="clear"/>
            <w:tcMar>
              <w:top w:type="dxa" w:w="70"/>
              <w:left w:type="dxa" w:w="100"/>
              <w:bottom w:type="dxa" w:w="70"/>
              <w:right w:type="dxa" w:w="100"/>
            </w:tcMar>
          </w:tcPr>
          <w:p>
            <w:r>
              <w:rPr>
                <w:sz w:val="18"/>
                <w:szCs w:val="18"/>
              </w:rPr>
              <w:t xml:space="preserve">Christopher Nolan</w:t>
            </w:r>
          </w:p>
        </w:tc>
      </w:tr>
      <w:tr>
        <w:tc>
          <w:tcPr>
            <w:tcW w:type="dxa" w:w="3200"/>
            <w:shd w:fill="F2F5FA" w:val="clear"/>
            <w:tcMar>
              <w:top w:type="dxa" w:w="70"/>
              <w:left w:type="dxa" w:w="100"/>
              <w:bottom w:type="dxa" w:w="70"/>
              <w:right w:type="dxa" w:w="100"/>
            </w:tcMar>
          </w:tcPr>
          <w:p>
            <w:r>
              <w:rPr>
                <w:sz w:val="18"/>
                <w:szCs w:val="18"/>
              </w:rPr>
              <w:t xml:space="preserve">The Intouchables</w:t>
            </w:r>
          </w:p>
        </w:tc>
        <w:tc>
          <w:tcPr>
            <w:tcW w:type="dxa" w:w="1000"/>
            <w:shd w:fill="F2F5FA" w:val="clear"/>
            <w:tcMar>
              <w:top w:type="dxa" w:w="70"/>
              <w:left w:type="dxa" w:w="100"/>
              <w:bottom w:type="dxa" w:w="70"/>
              <w:right w:type="dxa" w:w="100"/>
            </w:tcMar>
          </w:tcPr>
          <w:p>
            <w:r>
              <w:rPr>
                <w:sz w:val="18"/>
                <w:szCs w:val="18"/>
              </w:rPr>
              <w:t xml:space="preserve">2011</w:t>
            </w:r>
          </w:p>
        </w:tc>
        <w:tc>
          <w:tcPr>
            <w:tcW w:type="dxa" w:w="1200"/>
            <w:shd w:fill="F2F5FA" w:val="clear"/>
            <w:tcMar>
              <w:top w:type="dxa" w:w="70"/>
              <w:left w:type="dxa" w:w="100"/>
              <w:bottom w:type="dxa" w:w="70"/>
              <w:right w:type="dxa" w:w="100"/>
            </w:tcMar>
          </w:tcPr>
          <w:p>
            <w:r>
              <w:rPr>
                <w:sz w:val="18"/>
                <w:szCs w:val="18"/>
              </w:rPr>
              <w:t xml:space="preserve">8.6</w:t>
            </w:r>
          </w:p>
        </w:tc>
        <w:tc>
          <w:tcPr>
            <w:tcW w:type="dxa" w:w="1800"/>
            <w:shd w:fill="F2F5FA" w:val="clear"/>
            <w:tcMar>
              <w:top w:type="dxa" w:w="70"/>
              <w:left w:type="dxa" w:w="100"/>
              <w:bottom w:type="dxa" w:w="70"/>
              <w:right w:type="dxa" w:w="100"/>
            </w:tcMar>
          </w:tcPr>
          <w:p>
            <w:r>
              <w:rPr>
                <w:sz w:val="18"/>
                <w:szCs w:val="18"/>
              </w:rPr>
              <w:t xml:space="preserve">557,965</w:t>
            </w:r>
          </w:p>
        </w:tc>
        <w:tc>
          <w:tcPr>
            <w:tcW w:type="dxa" w:w="1800"/>
            <w:shd w:fill="F2F5FA" w:val="clear"/>
            <w:tcMar>
              <w:top w:type="dxa" w:w="70"/>
              <w:left w:type="dxa" w:w="100"/>
              <w:bottom w:type="dxa" w:w="70"/>
              <w:right w:type="dxa" w:w="100"/>
            </w:tcMar>
          </w:tcPr>
          <w:p>
            <w:r>
              <w:rPr>
                <w:sz w:val="18"/>
                <w:szCs w:val="18"/>
              </w:rPr>
              <w:t xml:space="preserve">Olivier Nakache</w:t>
            </w:r>
          </w:p>
        </w:tc>
      </w:tr>
      <w:tr>
        <w:tc>
          <w:tcPr>
            <w:tcW w:type="dxa" w:w="3200"/>
            <w:shd w:fill="FFFFFF" w:val="clear"/>
            <w:tcMar>
              <w:top w:type="dxa" w:w="70"/>
              <w:left w:type="dxa" w:w="100"/>
              <w:bottom w:type="dxa" w:w="70"/>
              <w:right w:type="dxa" w:w="100"/>
            </w:tcMar>
          </w:tcPr>
          <w:p>
            <w:r>
              <w:rPr>
                <w:sz w:val="18"/>
                <w:szCs w:val="18"/>
              </w:rPr>
              <w:t xml:space="preserve">The Departed</w:t>
            </w:r>
          </w:p>
        </w:tc>
        <w:tc>
          <w:tcPr>
            <w:tcW w:type="dxa" w:w="1000"/>
            <w:shd w:fill="FFFFFF" w:val="clear"/>
            <w:tcMar>
              <w:top w:type="dxa" w:w="70"/>
              <w:left w:type="dxa" w:w="100"/>
              <w:bottom w:type="dxa" w:w="70"/>
              <w:right w:type="dxa" w:w="100"/>
            </w:tcMar>
          </w:tcPr>
          <w:p>
            <w:r>
              <w:rPr>
                <w:sz w:val="18"/>
                <w:szCs w:val="18"/>
              </w:rPr>
              <w:t xml:space="preserve">2006</w:t>
            </w:r>
          </w:p>
        </w:tc>
        <w:tc>
          <w:tcPr>
            <w:tcW w:type="dxa" w:w="1200"/>
            <w:shd w:fill="FFFFFF" w:val="clear"/>
            <w:tcMar>
              <w:top w:type="dxa" w:w="70"/>
              <w:left w:type="dxa" w:w="100"/>
              <w:bottom w:type="dxa" w:w="70"/>
              <w:right w:type="dxa" w:w="100"/>
            </w:tcMar>
          </w:tcPr>
          <w:p>
            <w:r>
              <w:rPr>
                <w:sz w:val="18"/>
                <w:szCs w:val="18"/>
              </w:rPr>
              <w:t xml:space="preserve">8.5</w:t>
            </w:r>
          </w:p>
        </w:tc>
        <w:tc>
          <w:tcPr>
            <w:tcW w:type="dxa" w:w="1800"/>
            <w:shd w:fill="FFFFFF" w:val="clear"/>
            <w:tcMar>
              <w:top w:type="dxa" w:w="70"/>
              <w:left w:type="dxa" w:w="100"/>
              <w:bottom w:type="dxa" w:w="70"/>
              <w:right w:type="dxa" w:w="100"/>
            </w:tcMar>
          </w:tcPr>
          <w:p>
            <w:r>
              <w:rPr>
                <w:sz w:val="18"/>
                <w:szCs w:val="18"/>
              </w:rPr>
              <w:t xml:space="preserve">937,414</w:t>
            </w:r>
          </w:p>
        </w:tc>
        <w:tc>
          <w:tcPr>
            <w:tcW w:type="dxa" w:w="1800"/>
            <w:shd w:fill="FFFFFF" w:val="clear"/>
            <w:tcMar>
              <w:top w:type="dxa" w:w="70"/>
              <w:left w:type="dxa" w:w="100"/>
              <w:bottom w:type="dxa" w:w="70"/>
              <w:right w:type="dxa" w:w="100"/>
            </w:tcMar>
          </w:tcPr>
          <w:p>
            <w:r>
              <w:rPr>
                <w:sz w:val="18"/>
                <w:szCs w:val="18"/>
              </w:rPr>
              <w:t xml:space="preserve">Martin Scorsese</w:t>
            </w:r>
          </w:p>
        </w:tc>
      </w:tr>
      <w:tr>
        <w:tc>
          <w:tcPr>
            <w:tcW w:type="dxa" w:w="3200"/>
            <w:shd w:fill="F2F5FA" w:val="clear"/>
            <w:tcMar>
              <w:top w:type="dxa" w:w="70"/>
              <w:left w:type="dxa" w:w="100"/>
              <w:bottom w:type="dxa" w:w="70"/>
              <w:right w:type="dxa" w:w="100"/>
            </w:tcMar>
          </w:tcPr>
          <w:p>
            <w:r>
              <w:rPr>
                <w:sz w:val="18"/>
                <w:szCs w:val="18"/>
              </w:rPr>
              <w:t xml:space="preserve">The Dark Knight Rises</w:t>
            </w:r>
          </w:p>
        </w:tc>
        <w:tc>
          <w:tcPr>
            <w:tcW w:type="dxa" w:w="1000"/>
            <w:shd w:fill="F2F5FA" w:val="clear"/>
            <w:tcMar>
              <w:top w:type="dxa" w:w="70"/>
              <w:left w:type="dxa" w:w="100"/>
              <w:bottom w:type="dxa" w:w="70"/>
              <w:right w:type="dxa" w:w="100"/>
            </w:tcMar>
          </w:tcPr>
          <w:p>
            <w:r>
              <w:rPr>
                <w:sz w:val="18"/>
                <w:szCs w:val="18"/>
              </w:rPr>
              <w:t xml:space="preserve">2012</w:t>
            </w:r>
          </w:p>
        </w:tc>
        <w:tc>
          <w:tcPr>
            <w:tcW w:type="dxa" w:w="1200"/>
            <w:shd w:fill="F2F5FA" w:val="clear"/>
            <w:tcMar>
              <w:top w:type="dxa" w:w="70"/>
              <w:left w:type="dxa" w:w="100"/>
              <w:bottom w:type="dxa" w:w="70"/>
              <w:right w:type="dxa" w:w="100"/>
            </w:tcMar>
          </w:tcPr>
          <w:p>
            <w:r>
              <w:rPr>
                <w:sz w:val="18"/>
                <w:szCs w:val="18"/>
              </w:rPr>
              <w:t xml:space="preserve">8.5</w:t>
            </w:r>
          </w:p>
        </w:tc>
        <w:tc>
          <w:tcPr>
            <w:tcW w:type="dxa" w:w="1800"/>
            <w:shd w:fill="F2F5FA" w:val="clear"/>
            <w:tcMar>
              <w:top w:type="dxa" w:w="70"/>
              <w:left w:type="dxa" w:w="100"/>
              <w:bottom w:type="dxa" w:w="70"/>
              <w:right w:type="dxa" w:w="100"/>
            </w:tcMar>
          </w:tcPr>
          <w:p>
            <w:r>
              <w:rPr>
                <w:sz w:val="18"/>
                <w:szCs w:val="18"/>
              </w:rPr>
              <w:t xml:space="preserve">1,222,645</w:t>
            </w:r>
          </w:p>
        </w:tc>
        <w:tc>
          <w:tcPr>
            <w:tcW w:type="dxa" w:w="1800"/>
            <w:shd w:fill="F2F5FA" w:val="clear"/>
            <w:tcMar>
              <w:top w:type="dxa" w:w="70"/>
              <w:left w:type="dxa" w:w="100"/>
              <w:bottom w:type="dxa" w:w="70"/>
              <w:right w:type="dxa" w:w="100"/>
            </w:tcMar>
          </w:tcPr>
          <w:p>
            <w:r>
              <w:rPr>
                <w:sz w:val="18"/>
                <w:szCs w:val="18"/>
              </w:rPr>
              <w:t xml:space="preserve">Christopher Nolan</w:t>
            </w:r>
          </w:p>
        </w:tc>
      </w:tr>
      <w:tr>
        <w:tc>
          <w:tcPr>
            <w:tcW w:type="dxa" w:w="3200"/>
            <w:shd w:fill="FFFFFF" w:val="clear"/>
            <w:tcMar>
              <w:top w:type="dxa" w:w="70"/>
              <w:left w:type="dxa" w:w="100"/>
              <w:bottom w:type="dxa" w:w="70"/>
              <w:right w:type="dxa" w:w="100"/>
            </w:tcMar>
          </w:tcPr>
          <w:p>
            <w:r>
              <w:rPr>
                <w:sz w:val="18"/>
                <w:szCs w:val="18"/>
              </w:rPr>
              <w:t xml:space="preserve">Whiplash</w:t>
            </w:r>
          </w:p>
        </w:tc>
        <w:tc>
          <w:tcPr>
            <w:tcW w:type="dxa" w:w="1000"/>
            <w:shd w:fill="FFFFFF" w:val="clear"/>
            <w:tcMar>
              <w:top w:type="dxa" w:w="70"/>
              <w:left w:type="dxa" w:w="100"/>
              <w:bottom w:type="dxa" w:w="70"/>
              <w:right w:type="dxa" w:w="100"/>
            </w:tcMar>
          </w:tcPr>
          <w:p>
            <w:r>
              <w:rPr>
                <w:sz w:val="18"/>
                <w:szCs w:val="18"/>
              </w:rPr>
              <w:t xml:space="preserve">2014</w:t>
            </w:r>
          </w:p>
        </w:tc>
        <w:tc>
          <w:tcPr>
            <w:tcW w:type="dxa" w:w="1200"/>
            <w:shd w:fill="FFFFFF" w:val="clear"/>
            <w:tcMar>
              <w:top w:type="dxa" w:w="70"/>
              <w:left w:type="dxa" w:w="100"/>
              <w:bottom w:type="dxa" w:w="70"/>
              <w:right w:type="dxa" w:w="100"/>
            </w:tcMar>
          </w:tcPr>
          <w:p>
            <w:r>
              <w:rPr>
                <w:sz w:val="18"/>
                <w:szCs w:val="18"/>
              </w:rPr>
              <w:t xml:space="preserve">8.5</w:t>
            </w:r>
          </w:p>
        </w:tc>
        <w:tc>
          <w:tcPr>
            <w:tcW w:type="dxa" w:w="1800"/>
            <w:shd w:fill="FFFFFF" w:val="clear"/>
            <w:tcMar>
              <w:top w:type="dxa" w:w="70"/>
              <w:left w:type="dxa" w:w="100"/>
              <w:bottom w:type="dxa" w:w="70"/>
              <w:right w:type="dxa" w:w="100"/>
            </w:tcMar>
          </w:tcPr>
          <w:p>
            <w:r>
              <w:rPr>
                <w:sz w:val="18"/>
                <w:szCs w:val="18"/>
              </w:rPr>
              <w:t xml:space="preserve">477,276</w:t>
            </w:r>
          </w:p>
        </w:tc>
        <w:tc>
          <w:tcPr>
            <w:tcW w:type="dxa" w:w="1800"/>
            <w:shd w:fill="FFFFFF" w:val="clear"/>
            <w:tcMar>
              <w:top w:type="dxa" w:w="70"/>
              <w:left w:type="dxa" w:w="100"/>
              <w:bottom w:type="dxa" w:w="70"/>
              <w:right w:type="dxa" w:w="100"/>
            </w:tcMar>
          </w:tcPr>
          <w:p>
            <w:r>
              <w:rPr>
                <w:sz w:val="18"/>
                <w:szCs w:val="18"/>
              </w:rPr>
              <w:t xml:space="preserve">Damien Chazelle</w:t>
            </w:r>
          </w:p>
        </w:tc>
      </w:tr>
      <w:tr>
        <w:tc>
          <w:tcPr>
            <w:tcW w:type="dxa" w:w="3200"/>
            <w:shd w:fill="F2F5FA" w:val="clear"/>
            <w:tcMar>
              <w:top w:type="dxa" w:w="70"/>
              <w:left w:type="dxa" w:w="100"/>
              <w:bottom w:type="dxa" w:w="70"/>
              <w:right w:type="dxa" w:w="100"/>
            </w:tcMar>
          </w:tcPr>
          <w:p>
            <w:r>
              <w:rPr>
                <w:sz w:val="18"/>
                <w:szCs w:val="18"/>
              </w:rPr>
              <w:t xml:space="preserve">The Prestige</w:t>
            </w:r>
          </w:p>
        </w:tc>
        <w:tc>
          <w:tcPr>
            <w:tcW w:type="dxa" w:w="1000"/>
            <w:shd w:fill="F2F5FA" w:val="clear"/>
            <w:tcMar>
              <w:top w:type="dxa" w:w="70"/>
              <w:left w:type="dxa" w:w="100"/>
              <w:bottom w:type="dxa" w:w="70"/>
              <w:right w:type="dxa" w:w="100"/>
            </w:tcMar>
          </w:tcPr>
          <w:p>
            <w:r>
              <w:rPr>
                <w:sz w:val="18"/>
                <w:szCs w:val="18"/>
              </w:rPr>
              <w:t xml:space="preserve">2006</w:t>
            </w:r>
          </w:p>
        </w:tc>
        <w:tc>
          <w:tcPr>
            <w:tcW w:type="dxa" w:w="1200"/>
            <w:shd w:fill="F2F5FA" w:val="clear"/>
            <w:tcMar>
              <w:top w:type="dxa" w:w="70"/>
              <w:left w:type="dxa" w:w="100"/>
              <w:bottom w:type="dxa" w:w="70"/>
              <w:right w:type="dxa" w:w="100"/>
            </w:tcMar>
          </w:tcPr>
          <w:p>
            <w:r>
              <w:rPr>
                <w:sz w:val="18"/>
                <w:szCs w:val="18"/>
              </w:rPr>
              <w:t xml:space="preserve">8.5</w:t>
            </w:r>
          </w:p>
        </w:tc>
        <w:tc>
          <w:tcPr>
            <w:tcW w:type="dxa" w:w="1800"/>
            <w:shd w:fill="F2F5FA" w:val="clear"/>
            <w:tcMar>
              <w:top w:type="dxa" w:w="70"/>
              <w:left w:type="dxa" w:w="100"/>
              <w:bottom w:type="dxa" w:w="70"/>
              <w:right w:type="dxa" w:w="100"/>
            </w:tcMar>
          </w:tcPr>
          <w:p>
            <w:r>
              <w:rPr>
                <w:sz w:val="18"/>
                <w:szCs w:val="18"/>
              </w:rPr>
              <w:t xml:space="preserve">913,152</w:t>
            </w:r>
          </w:p>
        </w:tc>
        <w:tc>
          <w:tcPr>
            <w:tcW w:type="dxa" w:w="1800"/>
            <w:shd w:fill="F2F5FA" w:val="clear"/>
            <w:tcMar>
              <w:top w:type="dxa" w:w="70"/>
              <w:left w:type="dxa" w:w="100"/>
              <w:bottom w:type="dxa" w:w="70"/>
              <w:right w:type="dxa" w:w="100"/>
            </w:tcMar>
          </w:tcPr>
          <w:p>
            <w:r>
              <w:rPr>
                <w:sz w:val="18"/>
                <w:szCs w:val="18"/>
              </w:rPr>
              <w:t xml:space="preserve">Christopher Nolan</w:t>
            </w:r>
          </w:p>
        </w:tc>
      </w:tr>
    </w:tbl>
    <w:p>
      <w:r>
        <w:br w:type="page"/>
      </w:r>
    </w:p>
    <w:p>
      <w:pPr>
        <w:pStyle w:val="Heading1"/>
        <w:spacing w:after="200" w:before="400"/>
      </w:pPr>
      <w:r>
        <w:rPr>
          <w:b/>
          <w:bCs/>
          <w:color w:val="1F3864"/>
        </w:rPr>
        <w:t xml:space="preserve">4. Genre Analysis</w:t>
      </w:r>
    </w:p>
    <w:p>
      <w:pPr>
        <w:pStyle w:val="Heading2"/>
        <w:spacing w:after="150" w:before="300"/>
      </w:pPr>
      <w:r>
        <w:rPr>
          <w:b/>
          <w:bCs/>
          <w:color w:val="2E5090"/>
        </w:rPr>
        <w:t xml:space="preserve">4.1 Most Common Genres</w:t>
      </w:r>
    </w:p>
    <w:p>
      <w:pPr>
        <w:spacing w:after="200" w:line="300"/>
      </w:pPr>
      <w:r>
        <w:rPr>
          <w:sz w:val="22"/>
          <w:szCs w:val="22"/>
        </w:rPr>
        <w:t xml:space="preserve">Action, Comedy, and Drama dominate the volume of releases, which is expected given the dataset's focus on commercially popular films.</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4. Top 10 primary genres by number of movies.</w:t>
      </w:r>
    </w:p>
    <w:p>
      <w:pPr>
        <w:pStyle w:val="Heading2"/>
        <w:spacing w:after="150" w:before="300"/>
      </w:pPr>
      <w:r>
        <w:rPr>
          <w:b/>
          <w:bCs/>
          <w:color w:val="2E5090"/>
        </w:rPr>
        <w:t xml:space="preserve">4.2 Rating by Genre</w:t>
      </w:r>
    </w:p>
    <w:p>
      <w:pPr>
        <w:spacing w:after="200" w:line="300"/>
      </w:pPr>
      <w:r>
        <w:rPr>
          <w:sz w:val="22"/>
          <w:szCs w:val="22"/>
        </w:rPr>
        <w:t xml:space="preserve">While Action and Comedy lead in volume, they don't necessarily lead in average rating. Genres such as Biography, Animation, and Crime tend to score higher on average, suggesting a gap between what's most frequently produced and what's most critically well-received.</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5. Average rating by genre (genres with 15+ movies only).</w:t>
      </w:r>
    </w:p>
    <w:p>
      <w:pPr>
        <w:pStyle w:val="Heading1"/>
        <w:spacing w:after="200" w:before="400"/>
      </w:pPr>
      <w:r>
        <w:rPr>
          <w:b/>
          <w:bCs/>
          <w:color w:val="1F3864"/>
        </w:rPr>
        <w:t xml:space="preserve">5. Runtime, Revenue, and Rating Relationships</w:t>
      </w:r>
    </w:p>
    <w:p>
      <w:pPr>
        <w:pStyle w:val="Heading2"/>
        <w:spacing w:after="150" w:before="300"/>
      </w:pPr>
      <w:r>
        <w:rPr>
          <w:b/>
          <w:bCs/>
          <w:color w:val="2E5090"/>
        </w:rPr>
        <w:t xml:space="preserve">5.1 Runtime vs. Rating</w:t>
      </w:r>
    </w:p>
    <w:p>
      <w:pPr>
        <w:spacing w:after="200" w:line="300"/>
      </w:pPr>
      <w:r>
        <w:rPr>
          <w:sz w:val="22"/>
          <w:szCs w:val="22"/>
        </w:rPr>
        <w:t xml:space="preserve">There is a weak positive relationship between runtime and rating — longer movies tend to be rated marginally higher on average, though the effect is small and there is wide variance at every runtime.</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6. Runtime (minutes) vs. IMDb rating, with trend line.</w:t>
      </w:r>
    </w:p>
    <w:p>
      <w:pPr>
        <w:pStyle w:val="Heading2"/>
        <w:spacing w:after="150" w:before="300"/>
      </w:pPr>
      <w:r>
        <w:rPr>
          <w:b/>
          <w:bCs/>
          <w:color w:val="2E5090"/>
        </w:rPr>
        <w:t xml:space="preserve">5.2 Revenue vs. Rating</w:t>
      </w:r>
    </w:p>
    <w:p>
      <w:pPr>
        <w:spacing w:after="200" w:line="300"/>
      </w:pPr>
      <w:r>
        <w:rPr>
          <w:sz w:val="22"/>
          <w:szCs w:val="22"/>
        </w:rPr>
        <w:t xml:space="preserve">Revenue data is missing for 129 movies (likely smaller or non-wide releases); for the remaining titles, higher-rated movies show a mild tendency toward higher box office revenue, but plenty of highly rated films underperform commercially and vice versa — rating alone is a weak predictor of revenue.</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7. IMDb rating vs. box office revenue ($ millions).</w:t>
      </w:r>
    </w:p>
    <w:p>
      <w:pPr>
        <w:pStyle w:val="Heading2"/>
        <w:spacing w:after="150" w:before="300"/>
      </w:pPr>
      <w:r>
        <w:rPr>
          <w:b/>
          <w:bCs/>
          <w:color w:val="2E5090"/>
        </w:rPr>
        <w:t xml:space="preserve">5.3 Correlation Between Numeric Features</w:t>
      </w:r>
    </w:p>
    <w:p>
      <w:pPr>
        <w:spacing w:after="200" w:line="300"/>
      </w:pPr>
      <w:r>
        <w:rPr>
          <w:sz w:val="22"/>
          <w:szCs w:val="22"/>
        </w:rPr>
        <w:t xml:space="preserve">The correlation matrix below summarizes linear relationships between the key numeric fields. Votes and Revenue show the strongest positive correlation with Rating among the available metrics, while Runtime and Year show weaker associations.</w:t>
      </w:r>
    </w:p>
    <w:p>
      <w:pPr>
        <w:spacing w:after="80" w:before="15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810000"/>
                    </a:xfrm>
                    <a:prstGeom prst="rect">
                      <a:avLst/>
                    </a:prstGeom>
                  </pic:spPr>
                </pic:pic>
              </a:graphicData>
            </a:graphic>
          </wp:inline>
        </w:drawing>
      </w:r>
    </w:p>
    <w:p>
      <w:pPr>
        <w:spacing w:after="250"/>
        <w:jc w:val="center"/>
      </w:pPr>
      <w:r>
        <w:rPr>
          <w:i/>
          <w:iCs/>
          <w:color w:val="595959"/>
          <w:sz w:val="18"/>
          <w:szCs w:val="18"/>
        </w:rPr>
        <w:t xml:space="preserve">Figure 8. Correlation matrix of Rating, Votes, Revenue, Metascore, Runtime, and Year.</w:t>
      </w:r>
    </w:p>
    <w:p>
      <w:r>
        <w:br w:type="page"/>
      </w:r>
    </w:p>
    <w:p>
      <w:pPr>
        <w:pStyle w:val="Heading1"/>
        <w:spacing w:after="200" w:before="400"/>
      </w:pPr>
      <w:r>
        <w:rPr>
          <w:b/>
          <w:bCs/>
          <w:color w:val="1F3864"/>
        </w:rPr>
        <w:t xml:space="preserve">6. Directors and Commercial Performance</w:t>
      </w:r>
    </w:p>
    <w:p>
      <w:pPr>
        <w:pStyle w:val="Heading2"/>
        <w:spacing w:after="150" w:before="300"/>
      </w:pPr>
      <w:r>
        <w:rPr>
          <w:b/>
          <w:bCs/>
          <w:color w:val="2E5090"/>
        </w:rPr>
        <w:t xml:space="preserve">6.1 Top Directors by Average Rating</w:t>
      </w:r>
    </w:p>
    <w:p>
      <w:pPr>
        <w:spacing w:after="200" w:line="300"/>
      </w:pPr>
      <w:r>
        <w:rPr>
          <w:sz w:val="22"/>
          <w:szCs w:val="22"/>
        </w:rPr>
        <w:t xml:space="preserve">Restricting to directors with at least three movies in the dataset highlights a small group of consistently high-rated filmmakers, led by names closely associated with critically acclaimed, high-grossing films.</w:t>
      </w:r>
    </w:p>
    <w:p>
      <w:pPr>
        <w:spacing w:after="80" w:before="150"/>
        <w:jc w:val="center"/>
      </w:pPr>
      <w:r>
        <w:drawing>
          <wp:inline distT="0" distB="0" distL="0" distR="0">
            <wp:extent cx="55245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3552825"/>
                    </a:xfrm>
                    <a:prstGeom prst="rect">
                      <a:avLst/>
                    </a:prstGeom>
                  </pic:spPr>
                </pic:pic>
              </a:graphicData>
            </a:graphic>
          </wp:inline>
        </w:drawing>
      </w:r>
    </w:p>
    <w:p>
      <w:pPr>
        <w:spacing w:after="250"/>
        <w:jc w:val="center"/>
      </w:pPr>
      <w:r>
        <w:rPr>
          <w:i/>
          <w:iCs/>
          <w:color w:val="595959"/>
          <w:sz w:val="18"/>
          <w:szCs w:val="18"/>
        </w:rPr>
        <w:t xml:space="preserve">Figure 9. Top 10 directors by average IMDb rating (3+ movies in dataset).</w:t>
      </w:r>
    </w:p>
    <w:p>
      <w:pPr>
        <w:pStyle w:val="Heading2"/>
        <w:spacing w:after="150" w:before="300"/>
      </w:pPr>
      <w:r>
        <w:rPr>
          <w:b/>
          <w:bCs/>
          <w:color w:val="2E5090"/>
        </w:rPr>
        <w:t xml:space="preserve">6.2 Highest-Grossing Movies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800"/>
        <w:gridCol w:w="1800"/>
      </w:tblGrid>
      <w:tr>
        <w:trPr>
          <w:tblHeader/>
        </w:trPr>
        <w:tc>
          <w:tcPr>
            <w:tcW w:type="dxa" w:w="4200"/>
            <w:shd w:fill="1F3864" w:val="clear"/>
            <w:tcMar>
              <w:top w:type="dxa" w:w="80"/>
              <w:left w:type="dxa" w:w="100"/>
              <w:bottom w:type="dxa" w:w="80"/>
              <w:right w:type="dxa" w:w="100"/>
            </w:tcMar>
          </w:tcPr>
          <w:p>
            <w:r>
              <w:rPr>
                <w:b/>
                <w:bCs/>
                <w:color w:val="FFFFFF"/>
                <w:sz w:val="18"/>
                <w:szCs w:val="18"/>
              </w:rPr>
              <w:t xml:space="preserve">Title</w:t>
            </w:r>
          </w:p>
        </w:tc>
        <w:tc>
          <w:tcPr>
            <w:tcW w:type="dxa" w:w="1200"/>
            <w:shd w:fill="1F3864" w:val="clear"/>
            <w:tcMar>
              <w:top w:type="dxa" w:w="80"/>
              <w:left w:type="dxa" w:w="100"/>
              <w:bottom w:type="dxa" w:w="80"/>
              <w:right w:type="dxa" w:w="100"/>
            </w:tcMar>
          </w:tcPr>
          <w:p>
            <w:r>
              <w:rPr>
                <w:b/>
                <w:bCs/>
                <w:color w:val="FFFFFF"/>
                <w:sz w:val="18"/>
                <w:szCs w:val="18"/>
              </w:rPr>
              <w:t xml:space="preserve">Year</w:t>
            </w:r>
          </w:p>
        </w:tc>
        <w:tc>
          <w:tcPr>
            <w:tcW w:type="dxa" w:w="1800"/>
            <w:shd w:fill="1F3864" w:val="clear"/>
            <w:tcMar>
              <w:top w:type="dxa" w:w="80"/>
              <w:left w:type="dxa" w:w="100"/>
              <w:bottom w:type="dxa" w:w="80"/>
              <w:right w:type="dxa" w:w="100"/>
            </w:tcMar>
          </w:tcPr>
          <w:p>
            <w:r>
              <w:rPr>
                <w:b/>
                <w:bCs/>
                <w:color w:val="FFFFFF"/>
                <w:sz w:val="18"/>
                <w:szCs w:val="18"/>
              </w:rPr>
              <w:t xml:space="preserve">Revenue ($M)</w:t>
            </w:r>
          </w:p>
        </w:tc>
        <w:tc>
          <w:tcPr>
            <w:tcW w:type="dxa" w:w="1800"/>
            <w:shd w:fill="1F3864" w:val="clear"/>
            <w:tcMar>
              <w:top w:type="dxa" w:w="80"/>
              <w:left w:type="dxa" w:w="100"/>
              <w:bottom w:type="dxa" w:w="80"/>
              <w:right w:type="dxa" w:w="100"/>
            </w:tcMar>
          </w:tcPr>
          <w:p>
            <w:r>
              <w:rPr>
                <w:b/>
                <w:bCs/>
                <w:color w:val="FFFFFF"/>
                <w:sz w:val="18"/>
                <w:szCs w:val="18"/>
              </w:rPr>
              <w:t xml:space="preserve">Rating</w:t>
            </w:r>
          </w:p>
        </w:tc>
      </w:tr>
      <w:tr>
        <w:tc>
          <w:tcPr>
            <w:tcW w:type="dxa" w:w="4200"/>
            <w:shd w:fill="FFFFFF" w:val="clear"/>
            <w:tcMar>
              <w:top w:type="dxa" w:w="70"/>
              <w:left w:type="dxa" w:w="100"/>
              <w:bottom w:type="dxa" w:w="70"/>
              <w:right w:type="dxa" w:w="100"/>
            </w:tcMar>
          </w:tcPr>
          <w:p>
            <w:r>
              <w:rPr>
                <w:sz w:val="18"/>
                <w:szCs w:val="18"/>
              </w:rPr>
              <w:t xml:space="preserve">Star Wars: Episode VII - The Force Awakens</w:t>
            </w:r>
          </w:p>
        </w:tc>
        <w:tc>
          <w:tcPr>
            <w:tcW w:type="dxa" w:w="1200"/>
            <w:shd w:fill="FFFFFF" w:val="clear"/>
            <w:tcMar>
              <w:top w:type="dxa" w:w="70"/>
              <w:left w:type="dxa" w:w="100"/>
              <w:bottom w:type="dxa" w:w="70"/>
              <w:right w:type="dxa" w:w="100"/>
            </w:tcMar>
          </w:tcPr>
          <w:p>
            <w:r>
              <w:rPr>
                <w:sz w:val="18"/>
                <w:szCs w:val="18"/>
              </w:rPr>
              <w:t xml:space="preserve">2015</w:t>
            </w:r>
          </w:p>
        </w:tc>
        <w:tc>
          <w:tcPr>
            <w:tcW w:type="dxa" w:w="1800"/>
            <w:shd w:fill="FFFFFF" w:val="clear"/>
            <w:tcMar>
              <w:top w:type="dxa" w:w="70"/>
              <w:left w:type="dxa" w:w="100"/>
              <w:bottom w:type="dxa" w:w="70"/>
              <w:right w:type="dxa" w:w="100"/>
            </w:tcMar>
          </w:tcPr>
          <w:p>
            <w:r>
              <w:rPr>
                <w:sz w:val="18"/>
                <w:szCs w:val="18"/>
              </w:rPr>
              <w:t xml:space="preserve">936.63</w:t>
            </w:r>
          </w:p>
        </w:tc>
        <w:tc>
          <w:tcPr>
            <w:tcW w:type="dxa" w:w="1800"/>
            <w:shd w:fill="FFFFFF" w:val="clear"/>
            <w:tcMar>
              <w:top w:type="dxa" w:w="70"/>
              <w:left w:type="dxa" w:w="100"/>
              <w:bottom w:type="dxa" w:w="70"/>
              <w:right w:type="dxa" w:w="100"/>
            </w:tcMar>
          </w:tcPr>
          <w:p>
            <w:r>
              <w:rPr>
                <w:sz w:val="18"/>
                <w:szCs w:val="18"/>
              </w:rPr>
              <w:t xml:space="preserve">8.1</w:t>
            </w:r>
          </w:p>
        </w:tc>
      </w:tr>
      <w:tr>
        <w:tc>
          <w:tcPr>
            <w:tcW w:type="dxa" w:w="4200"/>
            <w:shd w:fill="F2F5FA" w:val="clear"/>
            <w:tcMar>
              <w:top w:type="dxa" w:w="70"/>
              <w:left w:type="dxa" w:w="100"/>
              <w:bottom w:type="dxa" w:w="70"/>
              <w:right w:type="dxa" w:w="100"/>
            </w:tcMar>
          </w:tcPr>
          <w:p>
            <w:r>
              <w:rPr>
                <w:sz w:val="18"/>
                <w:szCs w:val="18"/>
              </w:rPr>
              <w:t xml:space="preserve">Avatar</w:t>
            </w:r>
          </w:p>
        </w:tc>
        <w:tc>
          <w:tcPr>
            <w:tcW w:type="dxa" w:w="1200"/>
            <w:shd w:fill="F2F5FA" w:val="clear"/>
            <w:tcMar>
              <w:top w:type="dxa" w:w="70"/>
              <w:left w:type="dxa" w:w="100"/>
              <w:bottom w:type="dxa" w:w="70"/>
              <w:right w:type="dxa" w:w="100"/>
            </w:tcMar>
          </w:tcPr>
          <w:p>
            <w:r>
              <w:rPr>
                <w:sz w:val="18"/>
                <w:szCs w:val="18"/>
              </w:rPr>
              <w:t xml:space="preserve">2009</w:t>
            </w:r>
          </w:p>
        </w:tc>
        <w:tc>
          <w:tcPr>
            <w:tcW w:type="dxa" w:w="1800"/>
            <w:shd w:fill="F2F5FA" w:val="clear"/>
            <w:tcMar>
              <w:top w:type="dxa" w:w="70"/>
              <w:left w:type="dxa" w:w="100"/>
              <w:bottom w:type="dxa" w:w="70"/>
              <w:right w:type="dxa" w:w="100"/>
            </w:tcMar>
          </w:tcPr>
          <w:p>
            <w:r>
              <w:rPr>
                <w:sz w:val="18"/>
                <w:szCs w:val="18"/>
              </w:rPr>
              <w:t xml:space="preserve">760.51</w:t>
            </w:r>
          </w:p>
        </w:tc>
        <w:tc>
          <w:tcPr>
            <w:tcW w:type="dxa" w:w="1800"/>
            <w:shd w:fill="F2F5FA" w:val="clear"/>
            <w:tcMar>
              <w:top w:type="dxa" w:w="70"/>
              <w:left w:type="dxa" w:w="100"/>
              <w:bottom w:type="dxa" w:w="70"/>
              <w:right w:type="dxa" w:w="100"/>
            </w:tcMar>
          </w:tcPr>
          <w:p>
            <w:r>
              <w:rPr>
                <w:sz w:val="18"/>
                <w:szCs w:val="18"/>
              </w:rPr>
              <w:t xml:space="preserve">7.8</w:t>
            </w:r>
          </w:p>
        </w:tc>
      </w:tr>
      <w:tr>
        <w:tc>
          <w:tcPr>
            <w:tcW w:type="dxa" w:w="4200"/>
            <w:shd w:fill="FFFFFF" w:val="clear"/>
            <w:tcMar>
              <w:top w:type="dxa" w:w="70"/>
              <w:left w:type="dxa" w:w="100"/>
              <w:bottom w:type="dxa" w:w="70"/>
              <w:right w:type="dxa" w:w="100"/>
            </w:tcMar>
          </w:tcPr>
          <w:p>
            <w:r>
              <w:rPr>
                <w:sz w:val="18"/>
                <w:szCs w:val="18"/>
              </w:rPr>
              <w:t xml:space="preserve">Jurassic World</w:t>
            </w:r>
          </w:p>
        </w:tc>
        <w:tc>
          <w:tcPr>
            <w:tcW w:type="dxa" w:w="1200"/>
            <w:shd w:fill="FFFFFF" w:val="clear"/>
            <w:tcMar>
              <w:top w:type="dxa" w:w="70"/>
              <w:left w:type="dxa" w:w="100"/>
              <w:bottom w:type="dxa" w:w="70"/>
              <w:right w:type="dxa" w:w="100"/>
            </w:tcMar>
          </w:tcPr>
          <w:p>
            <w:r>
              <w:rPr>
                <w:sz w:val="18"/>
                <w:szCs w:val="18"/>
              </w:rPr>
              <w:t xml:space="preserve">2015</w:t>
            </w:r>
          </w:p>
        </w:tc>
        <w:tc>
          <w:tcPr>
            <w:tcW w:type="dxa" w:w="1800"/>
            <w:shd w:fill="FFFFFF" w:val="clear"/>
            <w:tcMar>
              <w:top w:type="dxa" w:w="70"/>
              <w:left w:type="dxa" w:w="100"/>
              <w:bottom w:type="dxa" w:w="70"/>
              <w:right w:type="dxa" w:w="100"/>
            </w:tcMar>
          </w:tcPr>
          <w:p>
            <w:r>
              <w:rPr>
                <w:sz w:val="18"/>
                <w:szCs w:val="18"/>
              </w:rPr>
              <w:t xml:space="preserve">652.18</w:t>
            </w:r>
          </w:p>
        </w:tc>
        <w:tc>
          <w:tcPr>
            <w:tcW w:type="dxa" w:w="1800"/>
            <w:shd w:fill="FFFFFF" w:val="clear"/>
            <w:tcMar>
              <w:top w:type="dxa" w:w="70"/>
              <w:left w:type="dxa" w:w="100"/>
              <w:bottom w:type="dxa" w:w="70"/>
              <w:right w:type="dxa" w:w="100"/>
            </w:tcMar>
          </w:tcPr>
          <w:p>
            <w:r>
              <w:rPr>
                <w:sz w:val="18"/>
                <w:szCs w:val="18"/>
              </w:rPr>
              <w:t xml:space="preserve">7.0</w:t>
            </w:r>
          </w:p>
        </w:tc>
      </w:tr>
      <w:tr>
        <w:tc>
          <w:tcPr>
            <w:tcW w:type="dxa" w:w="4200"/>
            <w:shd w:fill="F2F5FA" w:val="clear"/>
            <w:tcMar>
              <w:top w:type="dxa" w:w="70"/>
              <w:left w:type="dxa" w:w="100"/>
              <w:bottom w:type="dxa" w:w="70"/>
              <w:right w:type="dxa" w:w="100"/>
            </w:tcMar>
          </w:tcPr>
          <w:p>
            <w:r>
              <w:rPr>
                <w:sz w:val="18"/>
                <w:szCs w:val="18"/>
              </w:rPr>
              <w:t xml:space="preserve">The Avengers</w:t>
            </w:r>
          </w:p>
        </w:tc>
        <w:tc>
          <w:tcPr>
            <w:tcW w:type="dxa" w:w="1200"/>
            <w:shd w:fill="F2F5FA" w:val="clear"/>
            <w:tcMar>
              <w:top w:type="dxa" w:w="70"/>
              <w:left w:type="dxa" w:w="100"/>
              <w:bottom w:type="dxa" w:w="70"/>
              <w:right w:type="dxa" w:w="100"/>
            </w:tcMar>
          </w:tcPr>
          <w:p>
            <w:r>
              <w:rPr>
                <w:sz w:val="18"/>
                <w:szCs w:val="18"/>
              </w:rPr>
              <w:t xml:space="preserve">2012</w:t>
            </w:r>
          </w:p>
        </w:tc>
        <w:tc>
          <w:tcPr>
            <w:tcW w:type="dxa" w:w="1800"/>
            <w:shd w:fill="F2F5FA" w:val="clear"/>
            <w:tcMar>
              <w:top w:type="dxa" w:w="70"/>
              <w:left w:type="dxa" w:w="100"/>
              <w:bottom w:type="dxa" w:w="70"/>
              <w:right w:type="dxa" w:w="100"/>
            </w:tcMar>
          </w:tcPr>
          <w:p>
            <w:r>
              <w:rPr>
                <w:sz w:val="18"/>
                <w:szCs w:val="18"/>
              </w:rPr>
              <w:t xml:space="preserve">623.28</w:t>
            </w:r>
          </w:p>
        </w:tc>
        <w:tc>
          <w:tcPr>
            <w:tcW w:type="dxa" w:w="1800"/>
            <w:shd w:fill="F2F5FA" w:val="clear"/>
            <w:tcMar>
              <w:top w:type="dxa" w:w="70"/>
              <w:left w:type="dxa" w:w="100"/>
              <w:bottom w:type="dxa" w:w="70"/>
              <w:right w:type="dxa" w:w="100"/>
            </w:tcMar>
          </w:tcPr>
          <w:p>
            <w:r>
              <w:rPr>
                <w:sz w:val="18"/>
                <w:szCs w:val="18"/>
              </w:rPr>
              <w:t xml:space="preserve">8.1</w:t>
            </w:r>
          </w:p>
        </w:tc>
      </w:tr>
      <w:tr>
        <w:tc>
          <w:tcPr>
            <w:tcW w:type="dxa" w:w="4200"/>
            <w:shd w:fill="FFFFFF" w:val="clear"/>
            <w:tcMar>
              <w:top w:type="dxa" w:w="70"/>
              <w:left w:type="dxa" w:w="100"/>
              <w:bottom w:type="dxa" w:w="70"/>
              <w:right w:type="dxa" w:w="100"/>
            </w:tcMar>
          </w:tcPr>
          <w:p>
            <w:r>
              <w:rPr>
                <w:sz w:val="18"/>
                <w:szCs w:val="18"/>
              </w:rPr>
              <w:t xml:space="preserve">The Dark Knight</w:t>
            </w:r>
          </w:p>
        </w:tc>
        <w:tc>
          <w:tcPr>
            <w:tcW w:type="dxa" w:w="1200"/>
            <w:shd w:fill="FFFFFF" w:val="clear"/>
            <w:tcMar>
              <w:top w:type="dxa" w:w="70"/>
              <w:left w:type="dxa" w:w="100"/>
              <w:bottom w:type="dxa" w:w="70"/>
              <w:right w:type="dxa" w:w="100"/>
            </w:tcMar>
          </w:tcPr>
          <w:p>
            <w:r>
              <w:rPr>
                <w:sz w:val="18"/>
                <w:szCs w:val="18"/>
              </w:rPr>
              <w:t xml:space="preserve">2008</w:t>
            </w:r>
          </w:p>
        </w:tc>
        <w:tc>
          <w:tcPr>
            <w:tcW w:type="dxa" w:w="1800"/>
            <w:shd w:fill="FFFFFF" w:val="clear"/>
            <w:tcMar>
              <w:top w:type="dxa" w:w="70"/>
              <w:left w:type="dxa" w:w="100"/>
              <w:bottom w:type="dxa" w:w="70"/>
              <w:right w:type="dxa" w:w="100"/>
            </w:tcMar>
          </w:tcPr>
          <w:p>
            <w:r>
              <w:rPr>
                <w:sz w:val="18"/>
                <w:szCs w:val="18"/>
              </w:rPr>
              <w:t xml:space="preserve">533.32</w:t>
            </w:r>
          </w:p>
        </w:tc>
        <w:tc>
          <w:tcPr>
            <w:tcW w:type="dxa" w:w="1800"/>
            <w:shd w:fill="FFFFFF" w:val="clear"/>
            <w:tcMar>
              <w:top w:type="dxa" w:w="70"/>
              <w:left w:type="dxa" w:w="100"/>
              <w:bottom w:type="dxa" w:w="70"/>
              <w:right w:type="dxa" w:w="100"/>
            </w:tcMar>
          </w:tcPr>
          <w:p>
            <w:r>
              <w:rPr>
                <w:sz w:val="18"/>
                <w:szCs w:val="18"/>
              </w:rPr>
              <w:t xml:space="preserve">9.0</w:t>
            </w:r>
          </w:p>
        </w:tc>
      </w:tr>
      <w:tr>
        <w:tc>
          <w:tcPr>
            <w:tcW w:type="dxa" w:w="4200"/>
            <w:shd w:fill="F2F5FA" w:val="clear"/>
            <w:tcMar>
              <w:top w:type="dxa" w:w="70"/>
              <w:left w:type="dxa" w:w="100"/>
              <w:bottom w:type="dxa" w:w="70"/>
              <w:right w:type="dxa" w:w="100"/>
            </w:tcMar>
          </w:tcPr>
          <w:p>
            <w:r>
              <w:rPr>
                <w:sz w:val="18"/>
                <w:szCs w:val="18"/>
              </w:rPr>
              <w:t xml:space="preserve">Rogue One</w:t>
            </w:r>
          </w:p>
        </w:tc>
        <w:tc>
          <w:tcPr>
            <w:tcW w:type="dxa" w:w="1200"/>
            <w:shd w:fill="F2F5FA" w:val="clear"/>
            <w:tcMar>
              <w:top w:type="dxa" w:w="70"/>
              <w:left w:type="dxa" w:w="100"/>
              <w:bottom w:type="dxa" w:w="70"/>
              <w:right w:type="dxa" w:w="100"/>
            </w:tcMar>
          </w:tcPr>
          <w:p>
            <w:r>
              <w:rPr>
                <w:sz w:val="18"/>
                <w:szCs w:val="18"/>
              </w:rPr>
              <w:t xml:space="preserve">2016</w:t>
            </w:r>
          </w:p>
        </w:tc>
        <w:tc>
          <w:tcPr>
            <w:tcW w:type="dxa" w:w="1800"/>
            <w:shd w:fill="F2F5FA" w:val="clear"/>
            <w:tcMar>
              <w:top w:type="dxa" w:w="70"/>
              <w:left w:type="dxa" w:w="100"/>
              <w:bottom w:type="dxa" w:w="70"/>
              <w:right w:type="dxa" w:w="100"/>
            </w:tcMar>
          </w:tcPr>
          <w:p>
            <w:r>
              <w:rPr>
                <w:sz w:val="18"/>
                <w:szCs w:val="18"/>
              </w:rPr>
              <w:t xml:space="preserve">532.17</w:t>
            </w:r>
          </w:p>
        </w:tc>
        <w:tc>
          <w:tcPr>
            <w:tcW w:type="dxa" w:w="1800"/>
            <w:shd w:fill="F2F5FA" w:val="clear"/>
            <w:tcMar>
              <w:top w:type="dxa" w:w="70"/>
              <w:left w:type="dxa" w:w="100"/>
              <w:bottom w:type="dxa" w:w="70"/>
              <w:right w:type="dxa" w:w="100"/>
            </w:tcMar>
          </w:tcPr>
          <w:p>
            <w:r>
              <w:rPr>
                <w:sz w:val="18"/>
                <w:szCs w:val="18"/>
              </w:rPr>
              <w:t xml:space="preserve">7.9</w:t>
            </w:r>
          </w:p>
        </w:tc>
      </w:tr>
      <w:tr>
        <w:tc>
          <w:tcPr>
            <w:tcW w:type="dxa" w:w="4200"/>
            <w:shd w:fill="FFFFFF" w:val="clear"/>
            <w:tcMar>
              <w:top w:type="dxa" w:w="70"/>
              <w:left w:type="dxa" w:w="100"/>
              <w:bottom w:type="dxa" w:w="70"/>
              <w:right w:type="dxa" w:w="100"/>
            </w:tcMar>
          </w:tcPr>
          <w:p>
            <w:r>
              <w:rPr>
                <w:sz w:val="18"/>
                <w:szCs w:val="18"/>
              </w:rPr>
              <w:t xml:space="preserve">Finding Dory</w:t>
            </w:r>
          </w:p>
        </w:tc>
        <w:tc>
          <w:tcPr>
            <w:tcW w:type="dxa" w:w="1200"/>
            <w:shd w:fill="FFFFFF" w:val="clear"/>
            <w:tcMar>
              <w:top w:type="dxa" w:w="70"/>
              <w:left w:type="dxa" w:w="100"/>
              <w:bottom w:type="dxa" w:w="70"/>
              <w:right w:type="dxa" w:w="100"/>
            </w:tcMar>
          </w:tcPr>
          <w:p>
            <w:r>
              <w:rPr>
                <w:sz w:val="18"/>
                <w:szCs w:val="18"/>
              </w:rPr>
              <w:t xml:space="preserve">2016</w:t>
            </w:r>
          </w:p>
        </w:tc>
        <w:tc>
          <w:tcPr>
            <w:tcW w:type="dxa" w:w="1800"/>
            <w:shd w:fill="FFFFFF" w:val="clear"/>
            <w:tcMar>
              <w:top w:type="dxa" w:w="70"/>
              <w:left w:type="dxa" w:w="100"/>
              <w:bottom w:type="dxa" w:w="70"/>
              <w:right w:type="dxa" w:w="100"/>
            </w:tcMar>
          </w:tcPr>
          <w:p>
            <w:r>
              <w:rPr>
                <w:sz w:val="18"/>
                <w:szCs w:val="18"/>
              </w:rPr>
              <w:t xml:space="preserve">486.29</w:t>
            </w:r>
          </w:p>
        </w:tc>
        <w:tc>
          <w:tcPr>
            <w:tcW w:type="dxa" w:w="1800"/>
            <w:shd w:fill="FFFFFF" w:val="clear"/>
            <w:tcMar>
              <w:top w:type="dxa" w:w="70"/>
              <w:left w:type="dxa" w:w="100"/>
              <w:bottom w:type="dxa" w:w="70"/>
              <w:right w:type="dxa" w:w="100"/>
            </w:tcMar>
          </w:tcPr>
          <w:p>
            <w:r>
              <w:rPr>
                <w:sz w:val="18"/>
                <w:szCs w:val="18"/>
              </w:rPr>
              <w:t xml:space="preserve">7.4</w:t>
            </w:r>
          </w:p>
        </w:tc>
      </w:tr>
      <w:tr>
        <w:tc>
          <w:tcPr>
            <w:tcW w:type="dxa" w:w="4200"/>
            <w:shd w:fill="F2F5FA" w:val="clear"/>
            <w:tcMar>
              <w:top w:type="dxa" w:w="70"/>
              <w:left w:type="dxa" w:w="100"/>
              <w:bottom w:type="dxa" w:w="70"/>
              <w:right w:type="dxa" w:w="100"/>
            </w:tcMar>
          </w:tcPr>
          <w:p>
            <w:r>
              <w:rPr>
                <w:sz w:val="18"/>
                <w:szCs w:val="18"/>
              </w:rPr>
              <w:t xml:space="preserve">Avengers: Age of Ultron</w:t>
            </w:r>
          </w:p>
        </w:tc>
        <w:tc>
          <w:tcPr>
            <w:tcW w:type="dxa" w:w="1200"/>
            <w:shd w:fill="F2F5FA" w:val="clear"/>
            <w:tcMar>
              <w:top w:type="dxa" w:w="70"/>
              <w:left w:type="dxa" w:w="100"/>
              <w:bottom w:type="dxa" w:w="70"/>
              <w:right w:type="dxa" w:w="100"/>
            </w:tcMar>
          </w:tcPr>
          <w:p>
            <w:r>
              <w:rPr>
                <w:sz w:val="18"/>
                <w:szCs w:val="18"/>
              </w:rPr>
              <w:t xml:space="preserve">2015</w:t>
            </w:r>
          </w:p>
        </w:tc>
        <w:tc>
          <w:tcPr>
            <w:tcW w:type="dxa" w:w="1800"/>
            <w:shd w:fill="F2F5FA" w:val="clear"/>
            <w:tcMar>
              <w:top w:type="dxa" w:w="70"/>
              <w:left w:type="dxa" w:w="100"/>
              <w:bottom w:type="dxa" w:w="70"/>
              <w:right w:type="dxa" w:w="100"/>
            </w:tcMar>
          </w:tcPr>
          <w:p>
            <w:r>
              <w:rPr>
                <w:sz w:val="18"/>
                <w:szCs w:val="18"/>
              </w:rPr>
              <w:t xml:space="preserve">458.99</w:t>
            </w:r>
          </w:p>
        </w:tc>
        <w:tc>
          <w:tcPr>
            <w:tcW w:type="dxa" w:w="1800"/>
            <w:shd w:fill="F2F5FA" w:val="clear"/>
            <w:tcMar>
              <w:top w:type="dxa" w:w="70"/>
              <w:left w:type="dxa" w:w="100"/>
              <w:bottom w:type="dxa" w:w="70"/>
              <w:right w:type="dxa" w:w="100"/>
            </w:tcMar>
          </w:tcPr>
          <w:p>
            <w:r>
              <w:rPr>
                <w:sz w:val="18"/>
                <w:szCs w:val="18"/>
              </w:rPr>
              <w:t xml:space="preserve">7.4</w:t>
            </w:r>
          </w:p>
        </w:tc>
      </w:tr>
      <w:tr>
        <w:tc>
          <w:tcPr>
            <w:tcW w:type="dxa" w:w="4200"/>
            <w:shd w:fill="FFFFFF" w:val="clear"/>
            <w:tcMar>
              <w:top w:type="dxa" w:w="70"/>
              <w:left w:type="dxa" w:w="100"/>
              <w:bottom w:type="dxa" w:w="70"/>
              <w:right w:type="dxa" w:w="100"/>
            </w:tcMar>
          </w:tcPr>
          <w:p>
            <w:r>
              <w:rPr>
                <w:sz w:val="18"/>
                <w:szCs w:val="18"/>
              </w:rPr>
              <w:t xml:space="preserve">The Dark Knight Rises</w:t>
            </w:r>
          </w:p>
        </w:tc>
        <w:tc>
          <w:tcPr>
            <w:tcW w:type="dxa" w:w="1200"/>
            <w:shd w:fill="FFFFFF" w:val="clear"/>
            <w:tcMar>
              <w:top w:type="dxa" w:w="70"/>
              <w:left w:type="dxa" w:w="100"/>
              <w:bottom w:type="dxa" w:w="70"/>
              <w:right w:type="dxa" w:w="100"/>
            </w:tcMar>
          </w:tcPr>
          <w:p>
            <w:r>
              <w:rPr>
                <w:sz w:val="18"/>
                <w:szCs w:val="18"/>
              </w:rPr>
              <w:t xml:space="preserve">2012</w:t>
            </w:r>
          </w:p>
        </w:tc>
        <w:tc>
          <w:tcPr>
            <w:tcW w:type="dxa" w:w="1800"/>
            <w:shd w:fill="FFFFFF" w:val="clear"/>
            <w:tcMar>
              <w:top w:type="dxa" w:w="70"/>
              <w:left w:type="dxa" w:w="100"/>
              <w:bottom w:type="dxa" w:w="70"/>
              <w:right w:type="dxa" w:w="100"/>
            </w:tcMar>
          </w:tcPr>
          <w:p>
            <w:r>
              <w:rPr>
                <w:sz w:val="18"/>
                <w:szCs w:val="18"/>
              </w:rPr>
              <w:t xml:space="preserve">448.13</w:t>
            </w:r>
          </w:p>
        </w:tc>
        <w:tc>
          <w:tcPr>
            <w:tcW w:type="dxa" w:w="1800"/>
            <w:shd w:fill="FFFFFF" w:val="clear"/>
            <w:tcMar>
              <w:top w:type="dxa" w:w="70"/>
              <w:left w:type="dxa" w:w="100"/>
              <w:bottom w:type="dxa" w:w="70"/>
              <w:right w:type="dxa" w:w="100"/>
            </w:tcMar>
          </w:tcPr>
          <w:p>
            <w:r>
              <w:rPr>
                <w:sz w:val="18"/>
                <w:szCs w:val="18"/>
              </w:rPr>
              <w:t xml:space="preserve">8.5</w:t>
            </w:r>
          </w:p>
        </w:tc>
      </w:tr>
      <w:tr>
        <w:tc>
          <w:tcPr>
            <w:tcW w:type="dxa" w:w="4200"/>
            <w:shd w:fill="F2F5FA" w:val="clear"/>
            <w:tcMar>
              <w:top w:type="dxa" w:w="70"/>
              <w:left w:type="dxa" w:w="100"/>
              <w:bottom w:type="dxa" w:w="70"/>
              <w:right w:type="dxa" w:w="100"/>
            </w:tcMar>
          </w:tcPr>
          <w:p>
            <w:r>
              <w:rPr>
                <w:sz w:val="18"/>
                <w:szCs w:val="18"/>
              </w:rPr>
              <w:t xml:space="preserve">The Hunger Games: Catching Fire</w:t>
            </w:r>
          </w:p>
        </w:tc>
        <w:tc>
          <w:tcPr>
            <w:tcW w:type="dxa" w:w="1200"/>
            <w:shd w:fill="F2F5FA" w:val="clear"/>
            <w:tcMar>
              <w:top w:type="dxa" w:w="70"/>
              <w:left w:type="dxa" w:w="100"/>
              <w:bottom w:type="dxa" w:w="70"/>
              <w:right w:type="dxa" w:w="100"/>
            </w:tcMar>
          </w:tcPr>
          <w:p>
            <w:r>
              <w:rPr>
                <w:sz w:val="18"/>
                <w:szCs w:val="18"/>
              </w:rPr>
              <w:t xml:space="preserve">2013</w:t>
            </w:r>
          </w:p>
        </w:tc>
        <w:tc>
          <w:tcPr>
            <w:tcW w:type="dxa" w:w="1800"/>
            <w:shd w:fill="F2F5FA" w:val="clear"/>
            <w:tcMar>
              <w:top w:type="dxa" w:w="70"/>
              <w:left w:type="dxa" w:w="100"/>
              <w:bottom w:type="dxa" w:w="70"/>
              <w:right w:type="dxa" w:w="100"/>
            </w:tcMar>
          </w:tcPr>
          <w:p>
            <w:r>
              <w:rPr>
                <w:sz w:val="18"/>
                <w:szCs w:val="18"/>
              </w:rPr>
              <w:t xml:space="preserve">424.65</w:t>
            </w:r>
          </w:p>
        </w:tc>
        <w:tc>
          <w:tcPr>
            <w:tcW w:type="dxa" w:w="1800"/>
            <w:shd w:fill="F2F5FA" w:val="clear"/>
            <w:tcMar>
              <w:top w:type="dxa" w:w="70"/>
              <w:left w:type="dxa" w:w="100"/>
              <w:bottom w:type="dxa" w:w="70"/>
              <w:right w:type="dxa" w:w="100"/>
            </w:tcMar>
          </w:tcPr>
          <w:p>
            <w:r>
              <w:rPr>
                <w:sz w:val="18"/>
                <w:szCs w:val="18"/>
              </w:rPr>
              <w:t xml:space="preserve">7.6</w:t>
            </w:r>
          </w:p>
        </w:tc>
      </w:tr>
    </w:tbl>
    <w:p>
      <w:pPr>
        <w:pStyle w:val="Heading1"/>
        <w:spacing w:after="200" w:before="400"/>
      </w:pPr>
      <w:r>
        <w:rPr>
          <w:b/>
          <w:bCs/>
          <w:color w:val="1F3864"/>
        </w:rPr>
        <w:t xml:space="preserve">7. Key Findings</w:t>
      </w:r>
    </w:p>
    <w:p>
      <w:pPr>
        <w:pStyle w:val="ListParagraph"/>
        <w:numPr>
          <w:ilvl w:val="0"/>
          <w:numId w:val="1"/>
        </w:numPr>
        <w:spacing w:after="100"/>
      </w:pPr>
      <w:r>
        <w:rPr>
          <w:sz w:val="22"/>
          <w:szCs w:val="22"/>
        </w:rPr>
        <w:t xml:space="preserve">Ratings across the 1,000-movie dataset are centred around 6.7–6.8, reflecting a sample already skewed toward popular/notable releases.</w:t>
      </w:r>
    </w:p>
    <w:p>
      <w:pPr>
        <w:pStyle w:val="ListParagraph"/>
        <w:numPr>
          <w:ilvl w:val="0"/>
          <w:numId w:val="1"/>
        </w:numPr>
        <w:spacing w:after="100"/>
      </w:pPr>
      <w:r>
        <w:rPr>
          <w:sz w:val="22"/>
          <w:szCs w:val="22"/>
        </w:rPr>
        <w:t xml:space="preserve">Action, Comedy, and Drama are the most frequently produced genres, but Biography, Animation, and Crime titles tend to earn higher average ratings.</w:t>
      </w:r>
    </w:p>
    <w:p>
      <w:pPr>
        <w:pStyle w:val="ListParagraph"/>
        <w:numPr>
          <w:ilvl w:val="0"/>
          <w:numId w:val="1"/>
        </w:numPr>
        <w:spacing w:after="100"/>
      </w:pPr>
      <w:r>
        <w:rPr>
          <w:sz w:val="22"/>
          <w:szCs w:val="22"/>
        </w:rPr>
        <w:t xml:space="preserve">Runtime has only a weak positive relationship with rating — longer films are not reliably better-rated.</w:t>
      </w:r>
    </w:p>
    <w:p>
      <w:pPr>
        <w:pStyle w:val="ListParagraph"/>
        <w:numPr>
          <w:ilvl w:val="0"/>
          <w:numId w:val="1"/>
        </w:numPr>
        <w:spacing w:after="100"/>
      </w:pPr>
      <w:r>
        <w:rPr>
          <w:sz w:val="22"/>
          <w:szCs w:val="22"/>
        </w:rPr>
        <w:t xml:space="preserve">Revenue and rating are only mildly correlated: critical/audience approval does not strongly predict box office success.</w:t>
      </w:r>
    </w:p>
    <w:p>
      <w:pPr>
        <w:pStyle w:val="ListParagraph"/>
        <w:numPr>
          <w:ilvl w:val="0"/>
          <w:numId w:val="1"/>
        </w:numPr>
        <w:spacing w:after="100"/>
      </w:pPr>
      <w:r>
        <w:rPr>
          <w:sz w:val="22"/>
          <w:szCs w:val="22"/>
        </w:rPr>
        <w:t xml:space="preserve">Votes correlate more strongly with rating than revenue does, suggesting engagement/visibility matters as much as raw earnings.</w:t>
      </w:r>
    </w:p>
    <w:p>
      <w:pPr>
        <w:pStyle w:val="ListParagraph"/>
        <w:numPr>
          <w:ilvl w:val="0"/>
          <w:numId w:val="1"/>
        </w:numPr>
        <w:spacing w:after="100"/>
      </w:pPr>
      <w:r>
        <w:rPr>
          <w:sz w:val="22"/>
          <w:szCs w:val="22"/>
        </w:rPr>
        <w:t xml:space="preserve">A small set of directors (e.g., those behind Inception, The Dark Knight, Whiplash) account for a disproportionate share of the top-rated titles.</w:t>
      </w:r>
    </w:p>
    <w:p>
      <w:pPr>
        <w:pStyle w:val="Heading1"/>
        <w:spacing w:after="200" w:before="400"/>
      </w:pPr>
      <w:r>
        <w:rPr>
          <w:b/>
          <w:bCs/>
          <w:color w:val="1F3864"/>
        </w:rPr>
        <w:t xml:space="preserve">8. Data Source &amp; Methodology</w:t>
      </w:r>
    </w:p>
    <w:p>
      <w:pPr>
        <w:spacing w:after="200" w:line="300"/>
      </w:pPr>
      <w:r>
        <w:rPr>
          <w:sz w:val="22"/>
          <w:szCs w:val="22"/>
        </w:rPr>
        <w:t xml:space="preserve">Dataset: "1,000 Popular Movies" (2006–2016), originally compiled from IMDb listings (Title, Genre, Description, Director, Actors, Year, Runtime, Rating, Votes, Revenue, Metascore). Analysis performed in Python using pandas for data cleaning/aggregation and matplotlib/seaborn for visualization. Zero values in Revenue and Metascore were treated as missing rather than true zero, since a movie cannot literally gross $0 or receive a Metascore of 0.</w:t>
      </w:r>
    </w:p>
    <w:p>
      <w:pPr>
        <w:spacing w:after="200" w:line="300"/>
      </w:pPr>
      <w:r>
        <w:rPr>
          <w:i/>
          <w:iCs/>
          <w:color w:val="595959"/>
          <w:sz w:val="20"/>
          <w:szCs w:val="20"/>
        </w:rPr>
        <w:t xml:space="preserve">This report and the underlying analysis script are structured so the same pipeline can be re-run on an updated or larger IMDb extract (e.g., the full IMDb non-commercial datasets at datasets.imdbws.com) with minimal changes.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IMDb Movie Data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29f30afc5bd33af9b56556ff5adb19c6748b3e4.png"/><Relationship Id="rId10" Type="http://schemas.openxmlformats.org/officeDocument/2006/relationships/image" Target="media/b9bcd08c94160df4fd388d72fa6f2d4290bea4f6.png"/><Relationship Id="rId11" Type="http://schemas.openxmlformats.org/officeDocument/2006/relationships/image" Target="media/1489310d5a60e18e42bd0b693de2031238493315.png"/><Relationship Id="rId12" Type="http://schemas.openxmlformats.org/officeDocument/2006/relationships/image" Target="media/b086d335f8bdf740909ee7b9cbf3653cb3314b93.png"/><Relationship Id="rId13" Type="http://schemas.openxmlformats.org/officeDocument/2006/relationships/image" Target="media/574a1e584c129cae2339044fd6331c4491b3680d.png"/><Relationship Id="rId14" Type="http://schemas.openxmlformats.org/officeDocument/2006/relationships/image" Target="media/93510fe5b93802355c16bd37df66299c23426010.png"/><Relationship Id="rId15" Type="http://schemas.openxmlformats.org/officeDocument/2006/relationships/image" Target="media/ebb64c3caa2127598b57426048fd94c2f5776f71.png"/><Relationship Id="rId16" Type="http://schemas.openxmlformats.org/officeDocument/2006/relationships/image" Target="media/4066e91adea8403dbde7ecc9fc1deeaf48da2d9e.png"/><Relationship Id="rId17" Type="http://schemas.openxmlformats.org/officeDocument/2006/relationships/image" Target="media/aaa444ef5ee8ead3220305cf915474827b3499a0.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2026-09-12T07:49:22.717Z</dcterms:created>
  <dcterms:modified xsi:type="dcterms:W3CDTF">2026-09-12T07:49:22.717Z</dcterms:modified>
</cp:coreProperties>
</file>

<file path=docProps/custom.xml><?xml version="1.0" encoding="utf-8"?>
<Properties xmlns="http://schemas.openxmlformats.org/officeDocument/2006/custom-properties" xmlns:vt="http://schemas.openxmlformats.org/officeDocument/2006/docPropsVTypes"/>
</file>