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Regulatory Engine</w:t>
        <w:br/>
        <w:t>Local Working Guide</w:t>
      </w:r>
    </w:p>
    <w:p>
      <w:pPr>
        <w:jc w:val="center"/>
      </w:pPr>
      <w:r>
        <w:rPr>
          <w:color w:val="666666"/>
          <w:sz w:val="24"/>
        </w:rPr>
        <w:t>Detailed operational documentation for the local development and evaluation version</w:t>
      </w:r>
    </w:p>
    <w:p>
      <w:pPr>
        <w:jc w:val="center"/>
      </w:pPr>
      <w:r>
        <w:rPr>
          <w:sz w:val="19"/>
        </w:rPr>
        <w:t>Current scope: EU NC classification, standard customs duty, supported FTA context, origin rules, and historical tariff reconciliation</w:t>
      </w:r>
    </w:p>
    <w:tbl>
      <w:tblPr>
        <w:tblStyle w:val="TableGrid"/>
        <w:tblW w:type="auto" w:w="0"/>
        <w:jc w:val="center"/>
        <w:tblLook w:firstColumn="1" w:firstRow="1" w:lastColumn="0" w:lastRow="0" w:noHBand="0" w:noVBand="1" w:val="04A0"/>
      </w:tblPr>
      <w:tblGrid>
        <w:gridCol w:w="10080"/>
      </w:tblGrid>
      <w:tr>
        <w:tc>
          <w:tcPr>
            <w:tcW w:type="dxa" w:w="10080"/>
            <w:shd w:fill="FFF2CC"/>
            <w:tcMar>
              <w:top w:w="100" w:type="dxa"/>
              <w:start w:w="120" w:type="dxa"/>
              <w:bottom w:w="100" w:type="dxa"/>
              <w:end w:w="120" w:type="dxa"/>
            </w:tcMar>
          </w:tcPr>
          <w:p>
            <w:pPr>
              <w:spacing w:after="40"/>
            </w:pPr>
            <w:r>
              <w:rPr>
                <w:b/>
                <w:color w:val="17365D"/>
              </w:rPr>
              <w:t xml:space="preserve">Scope boundary: </w:t>
            </w:r>
            <w:r>
              <w:rPr>
                <w:sz w:val="18"/>
              </w:rPr>
              <w:t>The current runtime does not implement the medical-device regulatory layer. Medical scenarios are evaluated for customs classification and tariff behavior only.</w:t>
            </w:r>
          </w:p>
        </w:tc>
      </w:tr>
    </w:tbl>
    <w:p>
      <w:pPr>
        <w:pStyle w:val="SmallNote"/>
      </w:pPr>
    </w:p>
    <w:tbl>
      <w:tblPr>
        <w:tblStyle w:val="TableGrid"/>
        <w:tblW w:type="auto" w:w="0"/>
        <w:jc w:val="center"/>
        <w:tblLook w:firstColumn="1" w:firstRow="1" w:lastColumn="0" w:lastRow="0" w:noHBand="0" w:noVBand="1" w:val="04A0"/>
      </w:tblPr>
      <w:tblGrid>
        <w:gridCol w:w="5040"/>
        <w:gridCol w:w="5040"/>
      </w:tblGrid>
      <w:tr>
        <w:trPr>
          <w:tblHeader w:val="true"/>
          <w:cantSplit/>
        </w:trPr>
        <w:tc>
          <w:tcPr>
            <w:tcW w:type="dxa" w:w="2592"/>
            <w:shd w:fill="17365D"/>
            <w:tcMar>
              <w:top w:w="70" w:type="dxa"/>
              <w:start w:w="85" w:type="dxa"/>
              <w:bottom w:w="70" w:type="dxa"/>
              <w:end w:w="85" w:type="dxa"/>
            </w:tcMar>
            <w:vAlign w:val="center"/>
          </w:tcPr>
          <w:p>
            <w:pPr>
              <w:spacing w:after="0"/>
            </w:pPr>
            <w:r>
              <w:rPr>
                <w:rFonts w:ascii="Liberation Sans" w:hAnsi="Liberation Sans"/>
                <w:b/>
                <w:color w:val="FFFFFF"/>
                <w:sz w:val="16"/>
              </w:rPr>
              <w:t>Area</w:t>
            </w:r>
          </w:p>
        </w:tc>
        <w:tc>
          <w:tcPr>
            <w:tcW w:type="dxa" w:w="6912"/>
            <w:shd w:fill="17365D"/>
            <w:tcMar>
              <w:top w:w="70" w:type="dxa"/>
              <w:start w:w="85" w:type="dxa"/>
              <w:bottom w:w="70" w:type="dxa"/>
              <w:end w:w="85" w:type="dxa"/>
            </w:tcMar>
            <w:vAlign w:val="center"/>
          </w:tcPr>
          <w:p>
            <w:pPr>
              <w:spacing w:after="0"/>
            </w:pPr>
            <w:r>
              <w:rPr>
                <w:rFonts w:ascii="Liberation Sans" w:hAnsi="Liberation Sans"/>
                <w:b/>
                <w:color w:val="FFFFFF"/>
                <w:sz w:val="16"/>
              </w:rPr>
              <w:t>Local implementation</w:t>
            </w:r>
          </w:p>
        </w:tc>
      </w:tr>
      <w:tr>
        <w:trPr>
          <w:cantSplit/>
        </w:trPr>
        <w:tc>
          <w:tcPr>
            <w:tcW w:type="dxa" w:w="2592"/>
            <w:tcMar>
              <w:top w:w="70" w:type="dxa"/>
              <w:start w:w="85" w:type="dxa"/>
              <w:bottom w:w="70" w:type="dxa"/>
              <w:end w:w="85" w:type="dxa"/>
            </w:tcMar>
            <w:vAlign w:val="top"/>
          </w:tcPr>
          <w:p>
            <w:pPr>
              <w:spacing w:after="0"/>
            </w:pPr>
            <w:r>
              <w:rPr>
                <w:rFonts w:ascii="Liberation Sans" w:hAnsi="Liberation Sans"/>
                <w:sz w:val="16"/>
              </w:rPr>
              <w:t>Application</w:t>
            </w:r>
          </w:p>
        </w:tc>
        <w:tc>
          <w:tcPr>
            <w:tcW w:type="dxa" w:w="6912"/>
            <w:tcMar>
              <w:top w:w="70" w:type="dxa"/>
              <w:start w:w="85" w:type="dxa"/>
              <w:bottom w:w="70" w:type="dxa"/>
              <w:end w:w="85" w:type="dxa"/>
            </w:tcMar>
            <w:vAlign w:val="top"/>
          </w:tcPr>
          <w:p>
            <w:pPr>
              <w:spacing w:after="0"/>
            </w:pPr>
            <w:r>
              <w:rPr>
                <w:rFonts w:ascii="Liberation Sans" w:hAnsi="Liberation Sans"/>
                <w:sz w:val="16"/>
              </w:rPr>
              <w:t>Python package + optional Streamlit UI</w:t>
            </w:r>
          </w:p>
        </w:tc>
      </w:tr>
      <w:tr>
        <w:trPr>
          <w:cantSplit/>
        </w:trPr>
        <w:tc>
          <w:tcPr>
            <w:tcW w:type="dxa" w:w="2592"/>
            <w:tcMar>
              <w:top w:w="70" w:type="dxa"/>
              <w:start w:w="85" w:type="dxa"/>
              <w:bottom w:w="70" w:type="dxa"/>
              <w:end w:w="85" w:type="dxa"/>
            </w:tcMar>
            <w:vAlign w:val="top"/>
          </w:tcPr>
          <w:p>
            <w:pPr>
              <w:spacing w:after="0"/>
            </w:pPr>
            <w:r>
              <w:rPr>
                <w:rFonts w:ascii="Liberation Sans" w:hAnsi="Liberation Sans"/>
                <w:sz w:val="16"/>
              </w:rPr>
              <w:t>Database</w:t>
            </w:r>
          </w:p>
        </w:tc>
        <w:tc>
          <w:tcPr>
            <w:tcW w:type="dxa" w:w="6912"/>
            <w:tcMar>
              <w:top w:w="70" w:type="dxa"/>
              <w:start w:w="85" w:type="dxa"/>
              <w:bottom w:w="70" w:type="dxa"/>
              <w:end w:w="85" w:type="dxa"/>
            </w:tcMar>
            <w:vAlign w:val="top"/>
          </w:tcPr>
          <w:p>
            <w:pPr>
              <w:spacing w:after="0"/>
            </w:pPr>
            <w:r>
              <w:rPr>
                <w:rFonts w:ascii="Liberation Sans" w:hAnsi="Liberation Sans"/>
                <w:sz w:val="16"/>
              </w:rPr>
              <w:t>PostgreSQL 16 with pgvector</w:t>
            </w:r>
          </w:p>
        </w:tc>
      </w:tr>
      <w:tr>
        <w:trPr>
          <w:cantSplit/>
        </w:trPr>
        <w:tc>
          <w:tcPr>
            <w:tcW w:type="dxa" w:w="2592"/>
            <w:tcMar>
              <w:top w:w="70" w:type="dxa"/>
              <w:start w:w="85" w:type="dxa"/>
              <w:bottom w:w="70" w:type="dxa"/>
              <w:end w:w="85" w:type="dxa"/>
            </w:tcMar>
            <w:vAlign w:val="top"/>
          </w:tcPr>
          <w:p>
            <w:pPr>
              <w:spacing w:after="0"/>
            </w:pPr>
            <w:r>
              <w:rPr>
                <w:rFonts w:ascii="Liberation Sans" w:hAnsi="Liberation Sans"/>
                <w:sz w:val="16"/>
              </w:rPr>
              <w:t>Embeddings</w:t>
            </w:r>
          </w:p>
        </w:tc>
        <w:tc>
          <w:tcPr>
            <w:tcW w:type="dxa" w:w="6912"/>
            <w:tcMar>
              <w:top w:w="70" w:type="dxa"/>
              <w:start w:w="85" w:type="dxa"/>
              <w:bottom w:w="70" w:type="dxa"/>
              <w:end w:w="85" w:type="dxa"/>
            </w:tcMar>
            <w:vAlign w:val="top"/>
          </w:tcPr>
          <w:p>
            <w:pPr>
              <w:spacing w:after="0"/>
            </w:pPr>
            <w:r>
              <w:rPr>
                <w:rFonts w:ascii="Liberation Sans" w:hAnsi="Liberation Sans"/>
                <w:sz w:val="16"/>
              </w:rPr>
              <w:t>Amazon Bedrock - Cohere Embed Multilingual v3</w:t>
            </w:r>
          </w:p>
        </w:tc>
      </w:tr>
      <w:tr>
        <w:trPr>
          <w:cantSplit/>
        </w:trPr>
        <w:tc>
          <w:tcPr>
            <w:tcW w:type="dxa" w:w="2592"/>
            <w:tcMar>
              <w:top w:w="70" w:type="dxa"/>
              <w:start w:w="85" w:type="dxa"/>
              <w:bottom w:w="70" w:type="dxa"/>
              <w:end w:w="85" w:type="dxa"/>
            </w:tcMar>
            <w:vAlign w:val="top"/>
          </w:tcPr>
          <w:p>
            <w:pPr>
              <w:spacing w:after="0"/>
            </w:pPr>
            <w:r>
              <w:rPr>
                <w:rFonts w:ascii="Liberation Sans" w:hAnsi="Liberation Sans"/>
                <w:sz w:val="16"/>
              </w:rPr>
              <w:t>Reasoning</w:t>
            </w:r>
          </w:p>
        </w:tc>
        <w:tc>
          <w:tcPr>
            <w:tcW w:type="dxa" w:w="6912"/>
            <w:tcMar>
              <w:top w:w="70" w:type="dxa"/>
              <w:start w:w="85" w:type="dxa"/>
              <w:bottom w:w="70" w:type="dxa"/>
              <w:end w:w="85" w:type="dxa"/>
            </w:tcMar>
            <w:vAlign w:val="top"/>
          </w:tcPr>
          <w:p>
            <w:pPr>
              <w:spacing w:after="0"/>
            </w:pPr>
            <w:r>
              <w:rPr>
                <w:rFonts w:ascii="Liberation Sans" w:hAnsi="Liberation Sans"/>
                <w:sz w:val="16"/>
              </w:rPr>
              <w:t>Amazon Bedrock - Amazon Nova Pro</w:t>
            </w:r>
          </w:p>
        </w:tc>
      </w:tr>
      <w:tr>
        <w:trPr>
          <w:cantSplit/>
        </w:trPr>
        <w:tc>
          <w:tcPr>
            <w:tcW w:type="dxa" w:w="2592"/>
            <w:tcMar>
              <w:top w:w="70" w:type="dxa"/>
              <w:start w:w="85" w:type="dxa"/>
              <w:bottom w:w="70" w:type="dxa"/>
              <w:end w:w="85" w:type="dxa"/>
            </w:tcMar>
            <w:vAlign w:val="top"/>
          </w:tcPr>
          <w:p>
            <w:pPr>
              <w:spacing w:after="0"/>
            </w:pPr>
            <w:r>
              <w:rPr>
                <w:rFonts w:ascii="Liberation Sans" w:hAnsi="Liberation Sans"/>
                <w:sz w:val="16"/>
              </w:rPr>
              <w:t>Extraction</w:t>
            </w:r>
          </w:p>
        </w:tc>
        <w:tc>
          <w:tcPr>
            <w:tcW w:type="dxa" w:w="6912"/>
            <w:tcMar>
              <w:top w:w="70" w:type="dxa"/>
              <w:start w:w="85" w:type="dxa"/>
              <w:bottom w:w="70" w:type="dxa"/>
              <w:end w:w="85" w:type="dxa"/>
            </w:tcMar>
            <w:vAlign w:val="top"/>
          </w:tcPr>
          <w:p>
            <w:pPr>
              <w:spacing w:after="0"/>
            </w:pPr>
            <w:r>
              <w:rPr>
                <w:rFonts w:ascii="Liberation Sans" w:hAnsi="Liberation Sans"/>
                <w:sz w:val="16"/>
              </w:rPr>
              <w:t>Amazon Textract for selected regulatory pages</w:t>
            </w:r>
          </w:p>
        </w:tc>
      </w:tr>
      <w:tr>
        <w:trPr>
          <w:cantSplit/>
        </w:trPr>
        <w:tc>
          <w:tcPr>
            <w:tcW w:type="dxa" w:w="2592"/>
            <w:tcMar>
              <w:top w:w="70" w:type="dxa"/>
              <w:start w:w="85" w:type="dxa"/>
              <w:bottom w:w="70" w:type="dxa"/>
              <w:end w:w="85" w:type="dxa"/>
            </w:tcMar>
            <w:vAlign w:val="top"/>
          </w:tcPr>
          <w:p>
            <w:pPr>
              <w:spacing w:after="0"/>
            </w:pPr>
            <w:r>
              <w:rPr>
                <w:rFonts w:ascii="Liberation Sans" w:hAnsi="Liberation Sans"/>
                <w:sz w:val="16"/>
              </w:rPr>
              <w:t>Persistent cache</w:t>
            </w:r>
          </w:p>
        </w:tc>
        <w:tc>
          <w:tcPr>
            <w:tcW w:type="dxa" w:w="6912"/>
            <w:tcMar>
              <w:top w:w="70" w:type="dxa"/>
              <w:start w:w="85" w:type="dxa"/>
              <w:bottom w:w="70" w:type="dxa"/>
              <w:end w:w="85" w:type="dxa"/>
            </w:tcMar>
            <w:vAlign w:val="top"/>
          </w:tcPr>
          <w:p>
            <w:pPr>
              <w:spacing w:after="0"/>
            </w:pPr>
            <w:r>
              <w:rPr>
                <w:rFonts w:ascii="Liberation Sans" w:hAnsi="Liberation Sans"/>
                <w:sz w:val="16"/>
              </w:rPr>
              <w:t>Local files; optional S3-backed restore/persist behavior</w:t>
            </w:r>
          </w:p>
        </w:tc>
      </w:tr>
      <w:tr>
        <w:trPr>
          <w:cantSplit/>
        </w:trPr>
        <w:tc>
          <w:tcPr>
            <w:tcW w:type="dxa" w:w="2592"/>
            <w:tcMar>
              <w:top w:w="70" w:type="dxa"/>
              <w:start w:w="85" w:type="dxa"/>
              <w:bottom w:w="70" w:type="dxa"/>
              <w:end w:w="85" w:type="dxa"/>
            </w:tcMar>
            <w:vAlign w:val="top"/>
          </w:tcPr>
          <w:p>
            <w:pPr>
              <w:spacing w:after="0"/>
            </w:pPr>
            <w:r>
              <w:rPr>
                <w:rFonts w:ascii="Liberation Sans" w:hAnsi="Liberation Sans"/>
                <w:sz w:val="16"/>
              </w:rPr>
              <w:t>Evaluation</w:t>
            </w:r>
          </w:p>
        </w:tc>
        <w:tc>
          <w:tcPr>
            <w:tcW w:type="dxa" w:w="6912"/>
            <w:tcMar>
              <w:top w:w="70" w:type="dxa"/>
              <w:start w:w="85" w:type="dxa"/>
              <w:bottom w:w="70" w:type="dxa"/>
              <w:end w:w="85" w:type="dxa"/>
            </w:tcMar>
            <w:vAlign w:val="top"/>
          </w:tcPr>
          <w:p>
            <w:pPr>
              <w:spacing w:after="0"/>
            </w:pPr>
            <w:r>
              <w:rPr>
                <w:rFonts w:ascii="Liberation Sans" w:hAnsi="Liberation Sans"/>
                <w:sz w:val="16"/>
              </w:rPr>
              <w:t>Seven regression scenarios executed directly through evaluate_import()</w:t>
            </w:r>
          </w:p>
        </w:tc>
      </w:tr>
    </w:tbl>
    <w:p>
      <w:pPr>
        <w:pStyle w:val="SmallNote"/>
      </w:pPr>
    </w:p>
    <w:p>
      <w:r>
        <w:br w:type="page"/>
      </w:r>
    </w:p>
    <w:p>
      <w:pPr>
        <w:pStyle w:val="Heading1"/>
        <w:keepNext/>
      </w:pPr>
      <w:r>
        <w:t>Contents</w:t>
      </w:r>
    </w:p>
    <w:p>
      <w:pPr>
        <w:spacing w:after="40"/>
        <w:ind w:left="288"/>
      </w:pPr>
      <w:r>
        <w:t>1. Purpose and local architecture</w:t>
      </w:r>
    </w:p>
    <w:p>
      <w:pPr>
        <w:spacing w:after="40"/>
        <w:ind w:left="288"/>
      </w:pPr>
      <w:r>
        <w:t>2. Repository and module responsibilities</w:t>
      </w:r>
    </w:p>
    <w:p>
      <w:pPr>
        <w:spacing w:after="40"/>
        <w:ind w:left="288"/>
      </w:pPr>
      <w:r>
        <w:t>3. Local configuration and Docker Compose</w:t>
      </w:r>
    </w:p>
    <w:p>
      <w:pPr>
        <w:spacing w:after="40"/>
        <w:ind w:left="288"/>
      </w:pPr>
      <w:r>
        <w:t>4. Database model and connection behavior</w:t>
      </w:r>
    </w:p>
    <w:p>
      <w:pPr>
        <w:spacing w:after="40"/>
        <w:ind w:left="288"/>
      </w:pPr>
      <w:r>
        <w:t>5. Storage and cache behavior</w:t>
      </w:r>
    </w:p>
    <w:p>
      <w:pPr>
        <w:spacing w:after="40"/>
        <w:ind w:left="288"/>
      </w:pPr>
      <w:r>
        <w:t>6. NC ingestion pipeline</w:t>
      </w:r>
    </w:p>
    <w:p>
      <w:pPr>
        <w:spacing w:after="40"/>
        <w:ind w:left="288"/>
      </w:pPr>
      <w:r>
        <w:t>7. FTA ingestion pipeline</w:t>
      </w:r>
    </w:p>
    <w:p>
      <w:pPr>
        <w:spacing w:after="40"/>
        <w:ind w:left="288"/>
      </w:pPr>
      <w:r>
        <w:t>8. Runtime NC classification flow</w:t>
      </w:r>
    </w:p>
    <w:p>
      <w:pPr>
        <w:spacing w:after="40"/>
        <w:ind w:left="288"/>
      </w:pPr>
      <w:r>
        <w:t>9. Standard tariff calculation and uncertainty handling</w:t>
      </w:r>
    </w:p>
    <w:p>
      <w:pPr>
        <w:spacing w:after="40"/>
        <w:ind w:left="288"/>
      </w:pPr>
      <w:r>
        <w:t>10. FTA and historical tariff reconciliation</w:t>
      </w:r>
    </w:p>
    <w:p>
      <w:pPr>
        <w:spacing w:after="40"/>
        <w:ind w:left="288"/>
      </w:pPr>
      <w:r>
        <w:t>11. Application entry point and Streamlit layer</w:t>
      </w:r>
    </w:p>
    <w:p>
      <w:pPr>
        <w:spacing w:after="40"/>
        <w:ind w:left="288"/>
      </w:pPr>
      <w:r>
        <w:t>12. Running the seven regression scenarios</w:t>
      </w:r>
    </w:p>
    <w:p>
      <w:pPr>
        <w:spacing w:after="40"/>
        <w:ind w:left="288"/>
      </w:pPr>
      <w:r>
        <w:t>13. Rebuild, inspection, and troubleshooting</w:t>
      </w:r>
    </w:p>
    <w:p>
      <w:pPr>
        <w:spacing w:after="40"/>
        <w:ind w:left="288"/>
      </w:pPr>
      <w:r>
        <w:t>14. Current design safeguards and known limitations</w:t>
      </w:r>
    </w:p>
    <w:p>
      <w:pPr>
        <w:spacing w:after="40"/>
        <w:ind w:left="288"/>
      </w:pPr>
      <w:r>
        <w:t>15. Developer checklist</w:t>
      </w:r>
    </w:p>
    <w:p>
      <w:pPr>
        <w:pStyle w:val="Heading1"/>
        <w:keepNext/>
      </w:pPr>
      <w:r>
        <w:t>1. Purpose and local architecture</w:t>
      </w:r>
    </w:p>
    <w:p>
      <w:r>
        <w:t>The local version is designed to reproduce the core regulatory-engine behavior without the AWS ECS/ALB presentation layer. It can run either through Docker Compose or directly from the installed Python package. The local application still uses AWS Bedrock for embeddings and classification reasoning, and Textract when extraction is required.</w:t>
      </w:r>
    </w:p>
    <w:p>
      <w:pPr>
        <w:pStyle w:val="CodeBlock"/>
        <w:keepLines/>
        <w:shd w:fill="F5F7FA"/>
      </w:pPr>
      <w:r>
        <w:rPr>
          <w:rFonts w:ascii="Liberation Mono" w:hAnsi="Liberation Mono"/>
          <w:sz w:val="16"/>
        </w:rPr>
        <w:t>User / evaluation scenario</w:t>
        <w:br/>
        <w:t xml:space="preserve">        |</w:t>
        <w:br/>
        <w:t xml:space="preserve">        v</w:t>
        <w:br/>
        <w:t>ImportRequest</w:t>
        <w:br/>
        <w:t xml:space="preserve">        |</w:t>
        <w:br/>
        <w:t xml:space="preserve">        v</w:t>
        <w:br/>
        <w:t>evaluate_import()</w:t>
        <w:br/>
        <w:t xml:space="preserve">        |</w:t>
        <w:br/>
        <w:t xml:space="preserve">        +--&gt; NC semantic retrieval (Bedrock embedding + pgvector)</w:t>
        <w:br/>
        <w:t xml:space="preserve">        |        |</w:t>
        <w:br/>
        <w:t xml:space="preserve">        |        v</w:t>
        <w:br/>
        <w:t xml:space="preserve">        |    Nova candidate classification</w:t>
        <w:br/>
        <w:t xml:space="preserve">        |        |</w:t>
        <w:br/>
        <w:t xml:space="preserve">        |        v</w:t>
        <w:br/>
        <w:t xml:space="preserve">        |    standard tariff calculation</w:t>
        <w:br/>
        <w:t xml:space="preserve">        |</w:t>
        <w:br/>
        <w:t xml:space="preserve">        +--&gt; supported FTA lookup</w:t>
        <w:br/>
        <w:t xml:space="preserve">                 |</w:t>
        <w:br/>
        <w:t xml:space="preserve">                 +--&gt; legal basis</w:t>
        <w:br/>
        <w:t xml:space="preserve">                 +--&gt; origin rule</w:t>
        <w:br/>
        <w:t xml:space="preserve">                 +--&gt; historical tariff reconciliation (when configured)</w:t>
        <w:br/>
        <w:t xml:space="preserve">        |</w:t>
        <w:br/>
        <w:t xml:space="preserve">        v</w:t>
        <w:br/>
        <w:t>Structured result -&gt; CLI JSON or Streamlit rendering</w:t>
      </w:r>
    </w:p>
    <w:p>
      <w:pPr>
        <w:pStyle w:val="Heading2"/>
        <w:keepNext/>
      </w:pPr>
      <w:r>
        <w:t>The design deliberately separates three roles:</w:t>
      </w:r>
    </w:p>
    <w:p>
      <w:pPr>
        <w:pStyle w:val="ListBullet"/>
        <w:spacing w:after="40"/>
      </w:pPr>
      <w:r>
        <w:t>Structured database facts are authoritative for tariff codes, rates, origin rules, and source evidence.</w:t>
      </w:r>
    </w:p>
    <w:p>
      <w:pPr>
        <w:pStyle w:val="ListBullet"/>
        <w:spacing w:after="40"/>
      </w:pPr>
      <w:r>
        <w:t>Vector search is used to retrieve plausible candidates when wording differs between user descriptions and regulatory nomenclature.</w:t>
      </w:r>
    </w:p>
    <w:p>
      <w:pPr>
        <w:pStyle w:val="ListBullet"/>
        <w:spacing w:after="40"/>
      </w:pPr>
      <w:r>
        <w:t>The LLM resolves ambiguity inside a bounded candidate set; it is not allowed to invent codes, rates, product characteristics, or legal sources.</w:t>
      </w:r>
    </w:p>
    <w:p>
      <w:pPr>
        <w:pStyle w:val="Heading1"/>
        <w:keepNext/>
      </w:pPr>
      <w:r>
        <w:t>2. Repository and module responsibilities</w:t>
      </w:r>
    </w:p>
    <w:tbl>
      <w:tblPr>
        <w:tblStyle w:val="TableGrid"/>
        <w:tblW w:type="auto" w:w="0"/>
        <w:jc w:val="center"/>
        <w:tblLook w:firstColumn="1" w:firstRow="1" w:lastColumn="0" w:lastRow="0" w:noHBand="0" w:noVBand="1" w:val="04A0"/>
      </w:tblPr>
      <w:tblGrid>
        <w:gridCol w:w="5040"/>
        <w:gridCol w:w="5040"/>
      </w:tblGrid>
      <w:tr>
        <w:trPr>
          <w:tblHeader w:val="true"/>
          <w:cantSplit/>
        </w:trPr>
        <w:tc>
          <w:tcPr>
            <w:tcW w:type="dxa" w:w="3240"/>
            <w:shd w:fill="17365D"/>
            <w:tcMar>
              <w:top w:w="70" w:type="dxa"/>
              <w:start w:w="85" w:type="dxa"/>
              <w:bottom w:w="70" w:type="dxa"/>
              <w:end w:w="85" w:type="dxa"/>
            </w:tcMar>
            <w:vAlign w:val="center"/>
          </w:tcPr>
          <w:p>
            <w:pPr>
              <w:spacing w:after="0"/>
            </w:pPr>
            <w:r>
              <w:rPr>
                <w:rFonts w:ascii="Liberation Sans" w:hAnsi="Liberation Sans"/>
                <w:b/>
                <w:color w:val="FFFFFF"/>
                <w:sz w:val="16"/>
              </w:rPr>
              <w:t>Path</w:t>
            </w:r>
          </w:p>
        </w:tc>
        <w:tc>
          <w:tcPr>
            <w:tcW w:type="dxa" w:w="6696"/>
            <w:shd w:fill="17365D"/>
            <w:tcMar>
              <w:top w:w="70" w:type="dxa"/>
              <w:start w:w="85" w:type="dxa"/>
              <w:bottom w:w="70" w:type="dxa"/>
              <w:end w:w="85" w:type="dxa"/>
            </w:tcMar>
            <w:vAlign w:val="center"/>
          </w:tcPr>
          <w:p>
            <w:pPr>
              <w:spacing w:after="0"/>
            </w:pPr>
            <w:r>
              <w:rPr>
                <w:rFonts w:ascii="Liberation Sans" w:hAnsi="Liberation Sans"/>
                <w:b/>
                <w:color w:val="FFFFFF"/>
                <w:sz w:val="16"/>
              </w:rPr>
              <w:t>Responsibility</w:t>
            </w:r>
          </w:p>
        </w:tc>
      </w:tr>
      <w:tr>
        <w:trPr>
          <w:cantSplit/>
        </w:trPr>
        <w:tc>
          <w:tcPr>
            <w:tcW w:type="dxa" w:w="3240"/>
            <w:tcMar>
              <w:top w:w="70" w:type="dxa"/>
              <w:start w:w="85" w:type="dxa"/>
              <w:bottom w:w="70" w:type="dxa"/>
              <w:end w:w="85" w:type="dxa"/>
            </w:tcMar>
            <w:vAlign w:val="top"/>
          </w:tcPr>
          <w:p>
            <w:pPr>
              <w:spacing w:after="0"/>
            </w:pPr>
            <w:r>
              <w:rPr>
                <w:rFonts w:ascii="Liberation Sans" w:hAnsi="Liberation Sans"/>
                <w:sz w:val="16"/>
              </w:rPr>
              <w:t>app/streamlit_app.py</w:t>
            </w:r>
          </w:p>
        </w:tc>
        <w:tc>
          <w:tcPr>
            <w:tcW w:type="dxa" w:w="6696"/>
            <w:tcMar>
              <w:top w:w="70" w:type="dxa"/>
              <w:start w:w="85" w:type="dxa"/>
              <w:bottom w:w="70" w:type="dxa"/>
              <w:end w:w="85" w:type="dxa"/>
            </w:tcMar>
            <w:vAlign w:val="top"/>
          </w:tcPr>
          <w:p>
            <w:pPr>
              <w:spacing w:after="0"/>
            </w:pPr>
            <w:r>
              <w:rPr>
                <w:rFonts w:ascii="Liberation Sans" w:hAnsi="Liberation Sans"/>
                <w:sz w:val="16"/>
              </w:rPr>
              <w:t>User interface only; creates ImportRequest and renders the structured result.</w:t>
            </w:r>
          </w:p>
        </w:tc>
      </w:tr>
      <w:tr>
        <w:trPr>
          <w:cantSplit/>
        </w:trPr>
        <w:tc>
          <w:tcPr>
            <w:tcW w:type="dxa" w:w="3240"/>
            <w:tcMar>
              <w:top w:w="70" w:type="dxa"/>
              <w:start w:w="85" w:type="dxa"/>
              <w:bottom w:w="70" w:type="dxa"/>
              <w:end w:w="85" w:type="dxa"/>
            </w:tcMar>
            <w:vAlign w:val="top"/>
          </w:tcPr>
          <w:p>
            <w:pPr>
              <w:spacing w:after="0"/>
            </w:pPr>
            <w:r>
              <w:rPr>
                <w:rFonts w:ascii="Liberation Sans" w:hAnsi="Liberation Sans"/>
                <w:sz w:val="16"/>
              </w:rPr>
              <w:t>src/regulatory_engine/application/evaluate.py</w:t>
            </w:r>
          </w:p>
        </w:tc>
        <w:tc>
          <w:tcPr>
            <w:tcW w:type="dxa" w:w="6696"/>
            <w:tcMar>
              <w:top w:w="70" w:type="dxa"/>
              <w:start w:w="85" w:type="dxa"/>
              <w:bottom w:w="70" w:type="dxa"/>
              <w:end w:w="85" w:type="dxa"/>
            </w:tcMar>
            <w:vAlign w:val="top"/>
          </w:tcPr>
          <w:p>
            <w:pPr>
              <w:spacing w:after="0"/>
            </w:pPr>
            <w:r>
              <w:rPr>
                <w:rFonts w:ascii="Liberation Sans" w:hAnsi="Liberation Sans"/>
                <w:sz w:val="16"/>
              </w:rPr>
              <w:t>Main orchestration layer used by both UI and evaluation runner.</w:t>
            </w:r>
          </w:p>
        </w:tc>
      </w:tr>
      <w:tr>
        <w:trPr>
          <w:cantSplit/>
        </w:trPr>
        <w:tc>
          <w:tcPr>
            <w:tcW w:type="dxa" w:w="3240"/>
            <w:tcMar>
              <w:top w:w="70" w:type="dxa"/>
              <w:start w:w="85" w:type="dxa"/>
              <w:bottom w:w="70" w:type="dxa"/>
              <w:end w:w="85" w:type="dxa"/>
            </w:tcMar>
            <w:vAlign w:val="top"/>
          </w:tcPr>
          <w:p>
            <w:pPr>
              <w:spacing w:after="0"/>
            </w:pPr>
            <w:r>
              <w:rPr>
                <w:rFonts w:ascii="Liberation Sans" w:hAnsi="Liberation Sans"/>
                <w:sz w:val="16"/>
              </w:rPr>
              <w:t>classification/retrieval.py</w:t>
            </w:r>
          </w:p>
        </w:tc>
        <w:tc>
          <w:tcPr>
            <w:tcW w:type="dxa" w:w="6696"/>
            <w:tcMar>
              <w:top w:w="70" w:type="dxa"/>
              <w:start w:w="85" w:type="dxa"/>
              <w:bottom w:w="70" w:type="dxa"/>
              <w:end w:w="85" w:type="dxa"/>
            </w:tcMar>
            <w:vAlign w:val="top"/>
          </w:tcPr>
          <w:p>
            <w:pPr>
              <w:spacing w:after="0"/>
            </w:pPr>
            <w:r>
              <w:rPr>
                <w:rFonts w:ascii="Liberation Sans" w:hAnsi="Liberation Sans"/>
                <w:sz w:val="16"/>
              </w:rPr>
              <w:t>Creates query embedding and retrieves NC candidates from tariff_items using pgvector cosine distance.</w:t>
            </w:r>
          </w:p>
        </w:tc>
      </w:tr>
      <w:tr>
        <w:trPr>
          <w:cantSplit/>
        </w:trPr>
        <w:tc>
          <w:tcPr>
            <w:tcW w:type="dxa" w:w="3240"/>
            <w:tcMar>
              <w:top w:w="70" w:type="dxa"/>
              <w:start w:w="85" w:type="dxa"/>
              <w:bottom w:w="70" w:type="dxa"/>
              <w:end w:w="85" w:type="dxa"/>
            </w:tcMar>
            <w:vAlign w:val="top"/>
          </w:tcPr>
          <w:p>
            <w:pPr>
              <w:spacing w:after="0"/>
            </w:pPr>
            <w:r>
              <w:rPr>
                <w:rFonts w:ascii="Liberation Sans" w:hAnsi="Liberation Sans"/>
                <w:sz w:val="16"/>
              </w:rPr>
              <w:t>classification/classifier.py</w:t>
            </w:r>
          </w:p>
        </w:tc>
        <w:tc>
          <w:tcPr>
            <w:tcW w:type="dxa" w:w="6696"/>
            <w:tcMar>
              <w:top w:w="70" w:type="dxa"/>
              <w:start w:w="85" w:type="dxa"/>
              <w:bottom w:w="70" w:type="dxa"/>
              <w:end w:w="85" w:type="dxa"/>
            </w:tcMar>
            <w:vAlign w:val="top"/>
          </w:tcPr>
          <w:p>
            <w:pPr>
              <w:spacing w:after="0"/>
            </w:pPr>
            <w:r>
              <w:rPr>
                <w:rFonts w:ascii="Liberation Sans" w:hAnsi="Liberation Sans"/>
                <w:sz w:val="16"/>
              </w:rPr>
              <w:t>Nova-based bounded classifier using full NC hierarchy and residual-branch metadata.</w:t>
            </w:r>
          </w:p>
        </w:tc>
      </w:tr>
      <w:tr>
        <w:trPr>
          <w:cantSplit/>
        </w:trPr>
        <w:tc>
          <w:tcPr>
            <w:tcW w:type="dxa" w:w="3240"/>
            <w:tcMar>
              <w:top w:w="70" w:type="dxa"/>
              <w:start w:w="85" w:type="dxa"/>
              <w:bottom w:w="70" w:type="dxa"/>
              <w:end w:w="85" w:type="dxa"/>
            </w:tcMar>
            <w:vAlign w:val="top"/>
          </w:tcPr>
          <w:p>
            <w:pPr>
              <w:spacing w:after="0"/>
            </w:pPr>
            <w:r>
              <w:rPr>
                <w:rFonts w:ascii="Liberation Sans" w:hAnsi="Liberation Sans"/>
                <w:sz w:val="16"/>
              </w:rPr>
              <w:t>classification/service.py</w:t>
            </w:r>
          </w:p>
        </w:tc>
        <w:tc>
          <w:tcPr>
            <w:tcW w:type="dxa" w:w="6696"/>
            <w:tcMar>
              <w:top w:w="70" w:type="dxa"/>
              <w:start w:w="85" w:type="dxa"/>
              <w:bottom w:w="70" w:type="dxa"/>
              <w:end w:w="85" w:type="dxa"/>
            </w:tcMar>
            <w:vAlign w:val="top"/>
          </w:tcPr>
          <w:p>
            <w:pPr>
              <w:spacing w:after="0"/>
            </w:pPr>
            <w:r>
              <w:rPr>
                <w:rFonts w:ascii="Liberation Sans" w:hAnsi="Liberation Sans"/>
                <w:sz w:val="16"/>
              </w:rPr>
              <w:t>Small facade combining retrieval and classifier.</w:t>
            </w:r>
          </w:p>
        </w:tc>
      </w:tr>
      <w:tr>
        <w:trPr>
          <w:cantSplit/>
        </w:trPr>
        <w:tc>
          <w:tcPr>
            <w:tcW w:type="dxa" w:w="3240"/>
            <w:tcMar>
              <w:top w:w="70" w:type="dxa"/>
              <w:start w:w="85" w:type="dxa"/>
              <w:bottom w:w="70" w:type="dxa"/>
              <w:end w:w="85" w:type="dxa"/>
            </w:tcMar>
            <w:vAlign w:val="top"/>
          </w:tcPr>
          <w:p>
            <w:pPr>
              <w:spacing w:after="0"/>
            </w:pPr>
            <w:r>
              <w:rPr>
                <w:rFonts w:ascii="Liberation Sans" w:hAnsi="Liberation Sans"/>
                <w:sz w:val="16"/>
              </w:rPr>
              <w:t>tariff/calculator.py</w:t>
            </w:r>
          </w:p>
        </w:tc>
        <w:tc>
          <w:tcPr>
            <w:tcW w:type="dxa" w:w="6696"/>
            <w:tcMar>
              <w:top w:w="70" w:type="dxa"/>
              <w:start w:w="85" w:type="dxa"/>
              <w:bottom w:w="70" w:type="dxa"/>
              <w:end w:w="85" w:type="dxa"/>
            </w:tcMar>
            <w:vAlign w:val="top"/>
          </w:tcPr>
          <w:p>
            <w:pPr>
              <w:spacing w:after="0"/>
            </w:pPr>
            <w:r>
              <w:rPr>
                <w:rFonts w:ascii="Liberation Sans" w:hAnsi="Liberation Sans"/>
                <w:sz w:val="16"/>
              </w:rPr>
              <w:t>Deterministic calculation for simple percentage tariffs; withholds calculation for specific/complex tariffs.</w:t>
            </w:r>
          </w:p>
        </w:tc>
      </w:tr>
      <w:tr>
        <w:trPr>
          <w:cantSplit/>
        </w:trPr>
        <w:tc>
          <w:tcPr>
            <w:tcW w:type="dxa" w:w="3240"/>
            <w:tcMar>
              <w:top w:w="70" w:type="dxa"/>
              <w:start w:w="85" w:type="dxa"/>
              <w:bottom w:w="70" w:type="dxa"/>
              <w:end w:w="85" w:type="dxa"/>
            </w:tcMar>
            <w:vAlign w:val="top"/>
          </w:tcPr>
          <w:p>
            <w:pPr>
              <w:spacing w:after="0"/>
            </w:pPr>
            <w:r>
              <w:rPr>
                <w:rFonts w:ascii="Liberation Sans" w:hAnsi="Liberation Sans"/>
                <w:sz w:val="16"/>
              </w:rPr>
              <w:t>fta/service.py</w:t>
            </w:r>
          </w:p>
        </w:tc>
        <w:tc>
          <w:tcPr>
            <w:tcW w:type="dxa" w:w="6696"/>
            <w:tcMar>
              <w:top w:w="70" w:type="dxa"/>
              <w:start w:w="85" w:type="dxa"/>
              <w:bottom w:w="70" w:type="dxa"/>
              <w:end w:w="85" w:type="dxa"/>
            </w:tcMar>
            <w:vAlign w:val="top"/>
          </w:tcPr>
          <w:p>
            <w:pPr>
              <w:spacing w:after="0"/>
            </w:pPr>
            <w:r>
              <w:rPr>
                <w:rFonts w:ascii="Liberation Sans" w:hAnsi="Liberation Sans"/>
                <w:sz w:val="16"/>
              </w:rPr>
              <w:t>Agreement detection and assembly of legal basis, origin rule, and optional historical tariff schedule.</w:t>
            </w:r>
          </w:p>
        </w:tc>
      </w:tr>
      <w:tr>
        <w:trPr>
          <w:cantSplit/>
        </w:trPr>
        <w:tc>
          <w:tcPr>
            <w:tcW w:type="dxa" w:w="3240"/>
            <w:tcMar>
              <w:top w:w="70" w:type="dxa"/>
              <w:start w:w="85" w:type="dxa"/>
              <w:bottom w:w="70" w:type="dxa"/>
              <w:end w:w="85" w:type="dxa"/>
            </w:tcMar>
            <w:vAlign w:val="top"/>
          </w:tcPr>
          <w:p>
            <w:pPr>
              <w:spacing w:after="0"/>
            </w:pPr>
            <w:r>
              <w:rPr>
                <w:rFonts w:ascii="Liberation Sans" w:hAnsi="Liberation Sans"/>
                <w:sz w:val="16"/>
              </w:rPr>
              <w:t>fta/tariff_retrieval.py</w:t>
            </w:r>
          </w:p>
        </w:tc>
        <w:tc>
          <w:tcPr>
            <w:tcW w:type="dxa" w:w="6696"/>
            <w:tcMar>
              <w:top w:w="70" w:type="dxa"/>
              <w:start w:w="85" w:type="dxa"/>
              <w:bottom w:w="70" w:type="dxa"/>
              <w:end w:w="85" w:type="dxa"/>
            </w:tcMar>
            <w:vAlign w:val="top"/>
          </w:tcPr>
          <w:p>
            <w:pPr>
              <w:spacing w:after="0"/>
            </w:pPr>
            <w:r>
              <w:rPr>
                <w:rFonts w:ascii="Liberation Sans" w:hAnsi="Liberation Sans"/>
                <w:sz w:val="16"/>
              </w:rPr>
              <w:t>HS4-filtered semantic retrieval of historical FTA tariff lines.</w:t>
            </w:r>
          </w:p>
        </w:tc>
      </w:tr>
      <w:tr>
        <w:trPr>
          <w:cantSplit/>
        </w:trPr>
        <w:tc>
          <w:tcPr>
            <w:tcW w:type="dxa" w:w="3240"/>
            <w:tcMar>
              <w:top w:w="70" w:type="dxa"/>
              <w:start w:w="85" w:type="dxa"/>
              <w:bottom w:w="70" w:type="dxa"/>
              <w:end w:w="85" w:type="dxa"/>
            </w:tcMar>
            <w:vAlign w:val="top"/>
          </w:tcPr>
          <w:p>
            <w:pPr>
              <w:spacing w:after="0"/>
            </w:pPr>
            <w:r>
              <w:rPr>
                <w:rFonts w:ascii="Liberation Sans" w:hAnsi="Liberation Sans"/>
                <w:sz w:val="16"/>
              </w:rPr>
              <w:t>fta/tariff_classifier.py</w:t>
            </w:r>
          </w:p>
        </w:tc>
        <w:tc>
          <w:tcPr>
            <w:tcW w:type="dxa" w:w="6696"/>
            <w:tcMar>
              <w:top w:w="70" w:type="dxa"/>
              <w:start w:w="85" w:type="dxa"/>
              <w:bottom w:w="70" w:type="dxa"/>
              <w:end w:w="85" w:type="dxa"/>
            </w:tcMar>
            <w:vAlign w:val="top"/>
          </w:tcPr>
          <w:p>
            <w:pPr>
              <w:spacing w:after="0"/>
            </w:pPr>
            <w:r>
              <w:rPr>
                <w:rFonts w:ascii="Liberation Sans" w:hAnsi="Liberation Sans"/>
                <w:sz w:val="16"/>
              </w:rPr>
              <w:t>Nova-based reconciliation between current NC and older FTA nomenclature.</w:t>
            </w:r>
          </w:p>
        </w:tc>
      </w:tr>
      <w:tr>
        <w:trPr>
          <w:cantSplit/>
        </w:trPr>
        <w:tc>
          <w:tcPr>
            <w:tcW w:type="dxa" w:w="3240"/>
            <w:tcMar>
              <w:top w:w="70" w:type="dxa"/>
              <w:start w:w="85" w:type="dxa"/>
              <w:bottom w:w="70" w:type="dxa"/>
              <w:end w:w="85" w:type="dxa"/>
            </w:tcMar>
            <w:vAlign w:val="top"/>
          </w:tcPr>
          <w:p>
            <w:pPr>
              <w:spacing w:after="0"/>
            </w:pPr>
            <w:r>
              <w:rPr>
                <w:rFonts w:ascii="Liberation Sans" w:hAnsi="Liberation Sans"/>
                <w:sz w:val="16"/>
              </w:rPr>
              <w:t>infrastructure/database.py</w:t>
            </w:r>
          </w:p>
        </w:tc>
        <w:tc>
          <w:tcPr>
            <w:tcW w:type="dxa" w:w="6696"/>
            <w:tcMar>
              <w:top w:w="70" w:type="dxa"/>
              <w:start w:w="85" w:type="dxa"/>
              <w:bottom w:w="70" w:type="dxa"/>
              <w:end w:w="85" w:type="dxa"/>
            </w:tcMar>
            <w:vAlign w:val="top"/>
          </w:tcPr>
          <w:p>
            <w:pPr>
              <w:spacing w:after="0"/>
            </w:pPr>
            <w:r>
              <w:rPr>
                <w:rFonts w:ascii="Liberation Sans" w:hAnsi="Liberation Sans"/>
                <w:sz w:val="16"/>
              </w:rPr>
              <w:t>Single PostgreSQL connection helper using DATABASE_URL.</w:t>
            </w:r>
          </w:p>
        </w:tc>
      </w:tr>
      <w:tr>
        <w:trPr>
          <w:cantSplit/>
        </w:trPr>
        <w:tc>
          <w:tcPr>
            <w:tcW w:type="dxa" w:w="3240"/>
            <w:tcMar>
              <w:top w:w="70" w:type="dxa"/>
              <w:start w:w="85" w:type="dxa"/>
              <w:bottom w:w="70" w:type="dxa"/>
              <w:end w:w="85" w:type="dxa"/>
            </w:tcMar>
            <w:vAlign w:val="top"/>
          </w:tcPr>
          <w:p>
            <w:pPr>
              <w:spacing w:after="0"/>
            </w:pPr>
            <w:r>
              <w:rPr>
                <w:rFonts w:ascii="Liberation Sans" w:hAnsi="Liberation Sans"/>
                <w:sz w:val="16"/>
              </w:rPr>
              <w:t>infrastructure/bedrock.py</w:t>
            </w:r>
          </w:p>
        </w:tc>
        <w:tc>
          <w:tcPr>
            <w:tcW w:type="dxa" w:w="6696"/>
            <w:tcMar>
              <w:top w:w="70" w:type="dxa"/>
              <w:start w:w="85" w:type="dxa"/>
              <w:bottom w:w="70" w:type="dxa"/>
              <w:end w:w="85" w:type="dxa"/>
            </w:tcMar>
            <w:vAlign w:val="top"/>
          </w:tcPr>
          <w:p>
            <w:pPr>
              <w:spacing w:after="0"/>
            </w:pPr>
            <w:r>
              <w:rPr>
                <w:rFonts w:ascii="Liberation Sans" w:hAnsi="Liberation Sans"/>
                <w:sz w:val="16"/>
              </w:rPr>
              <w:t>Cached Bedrock Runtime client.</w:t>
            </w:r>
          </w:p>
        </w:tc>
      </w:tr>
      <w:tr>
        <w:trPr>
          <w:cantSplit/>
        </w:trPr>
        <w:tc>
          <w:tcPr>
            <w:tcW w:type="dxa" w:w="3240"/>
            <w:tcMar>
              <w:top w:w="70" w:type="dxa"/>
              <w:start w:w="85" w:type="dxa"/>
              <w:bottom w:w="70" w:type="dxa"/>
              <w:end w:w="85" w:type="dxa"/>
            </w:tcMar>
            <w:vAlign w:val="top"/>
          </w:tcPr>
          <w:p>
            <w:pPr>
              <w:spacing w:after="0"/>
            </w:pPr>
            <w:r>
              <w:rPr>
                <w:rFonts w:ascii="Liberation Sans" w:hAnsi="Liberation Sans"/>
                <w:sz w:val="16"/>
              </w:rPr>
              <w:t>infrastructure/storage.py</w:t>
            </w:r>
          </w:p>
        </w:tc>
        <w:tc>
          <w:tcPr>
            <w:tcW w:type="dxa" w:w="6696"/>
            <w:tcMar>
              <w:top w:w="70" w:type="dxa"/>
              <w:start w:w="85" w:type="dxa"/>
              <w:bottom w:w="70" w:type="dxa"/>
              <w:end w:w="85" w:type="dxa"/>
            </w:tcMar>
            <w:vAlign w:val="top"/>
          </w:tcPr>
          <w:p>
            <w:pPr>
              <w:spacing w:after="0"/>
            </w:pPr>
            <w:r>
              <w:rPr>
                <w:rFonts w:ascii="Liberation Sans" w:hAnsi="Liberation Sans"/>
                <w:sz w:val="16"/>
              </w:rPr>
              <w:t>Local/S3 cache abstraction for corpus and processed artifacts.</w:t>
            </w:r>
          </w:p>
        </w:tc>
      </w:tr>
      <w:tr>
        <w:trPr>
          <w:cantSplit/>
        </w:trPr>
        <w:tc>
          <w:tcPr>
            <w:tcW w:type="dxa" w:w="3240"/>
            <w:tcMar>
              <w:top w:w="70" w:type="dxa"/>
              <w:start w:w="85" w:type="dxa"/>
              <w:bottom w:w="70" w:type="dxa"/>
              <w:end w:w="85" w:type="dxa"/>
            </w:tcMar>
            <w:vAlign w:val="top"/>
          </w:tcPr>
          <w:p>
            <w:pPr>
              <w:spacing w:after="0"/>
            </w:pPr>
            <w:r>
              <w:rPr>
                <w:rFonts w:ascii="Liberation Sans" w:hAnsi="Liberation Sans"/>
                <w:sz w:val="16"/>
              </w:rPr>
              <w:t>ingestion/nc/</w:t>
            </w:r>
          </w:p>
        </w:tc>
        <w:tc>
          <w:tcPr>
            <w:tcW w:type="dxa" w:w="6696"/>
            <w:tcMar>
              <w:top w:w="70" w:type="dxa"/>
              <w:start w:w="85" w:type="dxa"/>
              <w:bottom w:w="70" w:type="dxa"/>
              <w:end w:w="85" w:type="dxa"/>
            </w:tcMar>
            <w:vAlign w:val="top"/>
          </w:tcPr>
          <w:p>
            <w:pPr>
              <w:spacing w:after="0"/>
            </w:pPr>
            <w:r>
              <w:rPr>
                <w:rFonts w:ascii="Liberation Sans" w:hAnsi="Liberation Sans"/>
                <w:sz w:val="16"/>
              </w:rPr>
              <w:t>Selected NC extraction, hierarchy reconstruction, loading, and embeddings.</w:t>
            </w:r>
          </w:p>
        </w:tc>
      </w:tr>
      <w:tr>
        <w:trPr>
          <w:cantSplit/>
        </w:trPr>
        <w:tc>
          <w:tcPr>
            <w:tcW w:type="dxa" w:w="3240"/>
            <w:tcMar>
              <w:top w:w="70" w:type="dxa"/>
              <w:start w:w="85" w:type="dxa"/>
              <w:bottom w:w="70" w:type="dxa"/>
              <w:end w:w="85" w:type="dxa"/>
            </w:tcMar>
            <w:vAlign w:val="top"/>
          </w:tcPr>
          <w:p>
            <w:pPr>
              <w:spacing w:after="0"/>
            </w:pPr>
            <w:r>
              <w:rPr>
                <w:rFonts w:ascii="Liberation Sans" w:hAnsi="Liberation Sans"/>
                <w:sz w:val="16"/>
              </w:rPr>
              <w:t>ingestion/fta/</w:t>
            </w:r>
          </w:p>
        </w:tc>
        <w:tc>
          <w:tcPr>
            <w:tcW w:type="dxa" w:w="6696"/>
            <w:tcMar>
              <w:top w:w="70" w:type="dxa"/>
              <w:start w:w="85" w:type="dxa"/>
              <w:bottom w:w="70" w:type="dxa"/>
              <w:end w:w="85" w:type="dxa"/>
            </w:tcMar>
            <w:vAlign w:val="top"/>
          </w:tcPr>
          <w:p>
            <w:pPr>
              <w:spacing w:after="0"/>
            </w:pPr>
            <w:r>
              <w:rPr>
                <w:rFonts w:ascii="Liberation Sans" w:hAnsi="Liberation Sans"/>
                <w:sz w:val="16"/>
              </w:rPr>
              <w:t>FTA legal/origin/tariff extraction, cleaning, loading, and embeddings.</w:t>
            </w:r>
          </w:p>
        </w:tc>
      </w:tr>
      <w:tr>
        <w:trPr>
          <w:cantSplit/>
        </w:trPr>
        <w:tc>
          <w:tcPr>
            <w:tcW w:type="dxa" w:w="3240"/>
            <w:tcMar>
              <w:top w:w="70" w:type="dxa"/>
              <w:start w:w="85" w:type="dxa"/>
              <w:bottom w:w="70" w:type="dxa"/>
              <w:end w:w="85" w:type="dxa"/>
            </w:tcMar>
            <w:vAlign w:val="top"/>
          </w:tcPr>
          <w:p>
            <w:pPr>
              <w:spacing w:after="0"/>
            </w:pPr>
            <w:r>
              <w:rPr>
                <w:rFonts w:ascii="Liberation Sans" w:hAnsi="Liberation Sans"/>
                <w:sz w:val="16"/>
              </w:rPr>
              <w:t>scripts/evaluate_scenarios.py</w:t>
            </w:r>
          </w:p>
        </w:tc>
        <w:tc>
          <w:tcPr>
            <w:tcW w:type="dxa" w:w="6696"/>
            <w:tcMar>
              <w:top w:w="70" w:type="dxa"/>
              <w:start w:w="85" w:type="dxa"/>
              <w:bottom w:w="70" w:type="dxa"/>
              <w:end w:w="85" w:type="dxa"/>
            </w:tcMar>
            <w:vAlign w:val="top"/>
          </w:tcPr>
          <w:p>
            <w:pPr>
              <w:spacing w:after="0"/>
            </w:pPr>
            <w:r>
              <w:rPr>
                <w:rFonts w:ascii="Liberation Sans" w:hAnsi="Liberation Sans"/>
                <w:sz w:val="16"/>
              </w:rPr>
              <w:t>Runs all seven evaluation scenarios through the same public application entry point.</w:t>
            </w:r>
          </w:p>
        </w:tc>
      </w:tr>
    </w:tbl>
    <w:p>
      <w:pPr>
        <w:pStyle w:val="SmallNote"/>
      </w:pPr>
    </w:p>
    <w:p>
      <w:pPr>
        <w:pStyle w:val="Heading1"/>
        <w:keepNext/>
      </w:pPr>
      <w:r>
        <w:t>3. Local configuration and Docker Compose</w:t>
      </w:r>
    </w:p>
    <w:p>
      <w:r>
        <w:t>The provided Compose file defines three services: db, web, and ingestion.</w:t>
      </w:r>
    </w:p>
    <w:tbl>
      <w:tblPr>
        <w:tblStyle w:val="TableGrid"/>
        <w:tblW w:type="auto" w:w="0"/>
        <w:jc w:val="center"/>
        <w:tblLook w:firstColumn="1" w:firstRow="1" w:lastColumn="0" w:lastRow="0" w:noHBand="0" w:noVBand="1" w:val="04A0"/>
      </w:tblPr>
      <w:tblGrid>
        <w:gridCol w:w="3360"/>
        <w:gridCol w:w="3360"/>
        <w:gridCol w:w="3360"/>
      </w:tblGrid>
      <w:tr>
        <w:trPr>
          <w:tblHeader w:val="true"/>
          <w:cantSplit/>
        </w:trPr>
        <w:tc>
          <w:tcPr>
            <w:tcW w:type="dxa" w:w="1440"/>
            <w:shd w:fill="17365D"/>
            <w:tcMar>
              <w:top w:w="70" w:type="dxa"/>
              <w:start w:w="85" w:type="dxa"/>
              <w:bottom w:w="70" w:type="dxa"/>
              <w:end w:w="85" w:type="dxa"/>
            </w:tcMar>
            <w:vAlign w:val="center"/>
          </w:tcPr>
          <w:p>
            <w:pPr>
              <w:spacing w:after="0"/>
            </w:pPr>
            <w:r>
              <w:rPr>
                <w:rFonts w:ascii="Liberation Sans" w:hAnsi="Liberation Sans"/>
                <w:b/>
                <w:color w:val="FFFFFF"/>
                <w:sz w:val="16"/>
              </w:rPr>
              <w:t>Service</w:t>
            </w:r>
          </w:p>
        </w:tc>
        <w:tc>
          <w:tcPr>
            <w:tcW w:type="dxa" w:w="3240"/>
            <w:shd w:fill="17365D"/>
            <w:tcMar>
              <w:top w:w="70" w:type="dxa"/>
              <w:start w:w="85" w:type="dxa"/>
              <w:bottom w:w="70" w:type="dxa"/>
              <w:end w:w="85" w:type="dxa"/>
            </w:tcMar>
            <w:vAlign w:val="center"/>
          </w:tcPr>
          <w:p>
            <w:pPr>
              <w:spacing w:after="0"/>
            </w:pPr>
            <w:r>
              <w:rPr>
                <w:rFonts w:ascii="Liberation Sans" w:hAnsi="Liberation Sans"/>
                <w:b/>
                <w:color w:val="FFFFFF"/>
                <w:sz w:val="16"/>
              </w:rPr>
              <w:t>Purpose</w:t>
            </w:r>
          </w:p>
        </w:tc>
        <w:tc>
          <w:tcPr>
            <w:tcW w:type="dxa" w:w="5256"/>
            <w:shd w:fill="17365D"/>
            <w:tcMar>
              <w:top w:w="70" w:type="dxa"/>
              <w:start w:w="85" w:type="dxa"/>
              <w:bottom w:w="70" w:type="dxa"/>
              <w:end w:w="85" w:type="dxa"/>
            </w:tcMar>
            <w:vAlign w:val="center"/>
          </w:tcPr>
          <w:p>
            <w:pPr>
              <w:spacing w:after="0"/>
            </w:pPr>
            <w:r>
              <w:rPr>
                <w:rFonts w:ascii="Liberation Sans" w:hAnsi="Liberation Sans"/>
                <w:b/>
                <w:color w:val="FFFFFF"/>
                <w:sz w:val="16"/>
              </w:rPr>
              <w:t>Important local wiring</w:t>
            </w:r>
          </w:p>
        </w:tc>
      </w:tr>
      <w:tr>
        <w:trPr>
          <w:cantSplit/>
        </w:trPr>
        <w:tc>
          <w:tcPr>
            <w:tcW w:type="dxa" w:w="1440"/>
            <w:tcMar>
              <w:top w:w="70" w:type="dxa"/>
              <w:start w:w="85" w:type="dxa"/>
              <w:bottom w:w="70" w:type="dxa"/>
              <w:end w:w="85" w:type="dxa"/>
            </w:tcMar>
            <w:vAlign w:val="top"/>
          </w:tcPr>
          <w:p>
            <w:pPr>
              <w:spacing w:after="0"/>
            </w:pPr>
            <w:r>
              <w:rPr>
                <w:rFonts w:ascii="Liberation Sans" w:hAnsi="Liberation Sans"/>
                <w:sz w:val="16"/>
              </w:rPr>
              <w:t>db</w:t>
            </w:r>
          </w:p>
        </w:tc>
        <w:tc>
          <w:tcPr>
            <w:tcW w:type="dxa" w:w="3240"/>
            <w:tcMar>
              <w:top w:w="70" w:type="dxa"/>
              <w:start w:w="85" w:type="dxa"/>
              <w:bottom w:w="70" w:type="dxa"/>
              <w:end w:w="85" w:type="dxa"/>
            </w:tcMar>
            <w:vAlign w:val="top"/>
          </w:tcPr>
          <w:p>
            <w:pPr>
              <w:spacing w:after="0"/>
            </w:pPr>
            <w:r>
              <w:rPr>
                <w:rFonts w:ascii="Liberation Sans" w:hAnsi="Liberation Sans"/>
                <w:sz w:val="16"/>
              </w:rPr>
              <w:t>PostgreSQL + pgvector</w:t>
            </w:r>
          </w:p>
        </w:tc>
        <w:tc>
          <w:tcPr>
            <w:tcW w:type="dxa" w:w="5256"/>
            <w:tcMar>
              <w:top w:w="70" w:type="dxa"/>
              <w:start w:w="85" w:type="dxa"/>
              <w:bottom w:w="70" w:type="dxa"/>
              <w:end w:w="85" w:type="dxa"/>
            </w:tcMar>
            <w:vAlign w:val="top"/>
          </w:tcPr>
          <w:p>
            <w:pPr>
              <w:spacing w:after="0"/>
            </w:pPr>
            <w:r>
              <w:rPr>
                <w:rFonts w:ascii="Liberation Sans" w:hAnsi="Liberation Sans"/>
                <w:sz w:val="16"/>
              </w:rPr>
              <w:t>Container port 5432 exposed as host port 5433; persistent postgres_data volume.</w:t>
            </w:r>
          </w:p>
        </w:tc>
      </w:tr>
      <w:tr>
        <w:trPr>
          <w:cantSplit/>
        </w:trPr>
        <w:tc>
          <w:tcPr>
            <w:tcW w:type="dxa" w:w="1440"/>
            <w:tcMar>
              <w:top w:w="70" w:type="dxa"/>
              <w:start w:w="85" w:type="dxa"/>
              <w:bottom w:w="70" w:type="dxa"/>
              <w:end w:w="85" w:type="dxa"/>
            </w:tcMar>
            <w:vAlign w:val="top"/>
          </w:tcPr>
          <w:p>
            <w:pPr>
              <w:spacing w:after="0"/>
            </w:pPr>
            <w:r>
              <w:rPr>
                <w:rFonts w:ascii="Liberation Sans" w:hAnsi="Liberation Sans"/>
                <w:sz w:val="16"/>
              </w:rPr>
              <w:t>web</w:t>
            </w:r>
          </w:p>
        </w:tc>
        <w:tc>
          <w:tcPr>
            <w:tcW w:type="dxa" w:w="3240"/>
            <w:tcMar>
              <w:top w:w="70" w:type="dxa"/>
              <w:start w:w="85" w:type="dxa"/>
              <w:bottom w:w="70" w:type="dxa"/>
              <w:end w:w="85" w:type="dxa"/>
            </w:tcMar>
            <w:vAlign w:val="top"/>
          </w:tcPr>
          <w:p>
            <w:pPr>
              <w:spacing w:after="0"/>
            </w:pPr>
            <w:r>
              <w:rPr>
                <w:rFonts w:ascii="Liberation Sans" w:hAnsi="Liberation Sans"/>
                <w:sz w:val="16"/>
              </w:rPr>
              <w:t>Streamlit/runtime container</w:t>
            </w:r>
          </w:p>
        </w:tc>
        <w:tc>
          <w:tcPr>
            <w:tcW w:type="dxa" w:w="5256"/>
            <w:tcMar>
              <w:top w:w="70" w:type="dxa"/>
              <w:start w:w="85" w:type="dxa"/>
              <w:bottom w:w="70" w:type="dxa"/>
              <w:end w:w="85" w:type="dxa"/>
            </w:tcMar>
            <w:vAlign w:val="top"/>
          </w:tcPr>
          <w:p>
            <w:pPr>
              <w:spacing w:after="0"/>
            </w:pPr>
            <w:r>
              <w:rPr>
                <w:rFonts w:ascii="Liberation Sans" w:hAnsi="Liberation Sans"/>
                <w:sz w:val="16"/>
              </w:rPr>
              <w:t>Connects to db:5432; exposes Streamlit on host port 8501; mounts ~/.aws read-only.</w:t>
            </w:r>
          </w:p>
        </w:tc>
      </w:tr>
      <w:tr>
        <w:trPr>
          <w:cantSplit/>
        </w:trPr>
        <w:tc>
          <w:tcPr>
            <w:tcW w:type="dxa" w:w="1440"/>
            <w:tcMar>
              <w:top w:w="70" w:type="dxa"/>
              <w:start w:w="85" w:type="dxa"/>
              <w:bottom w:w="70" w:type="dxa"/>
              <w:end w:w="85" w:type="dxa"/>
            </w:tcMar>
            <w:vAlign w:val="top"/>
          </w:tcPr>
          <w:p>
            <w:pPr>
              <w:spacing w:after="0"/>
            </w:pPr>
            <w:r>
              <w:rPr>
                <w:rFonts w:ascii="Liberation Sans" w:hAnsi="Liberation Sans"/>
                <w:sz w:val="16"/>
              </w:rPr>
              <w:t>ingestion</w:t>
            </w:r>
          </w:p>
        </w:tc>
        <w:tc>
          <w:tcPr>
            <w:tcW w:type="dxa" w:w="3240"/>
            <w:tcMar>
              <w:top w:w="70" w:type="dxa"/>
              <w:start w:w="85" w:type="dxa"/>
              <w:bottom w:w="70" w:type="dxa"/>
              <w:end w:w="85" w:type="dxa"/>
            </w:tcMar>
            <w:vAlign w:val="top"/>
          </w:tcPr>
          <w:p>
            <w:pPr>
              <w:spacing w:after="0"/>
            </w:pPr>
            <w:r>
              <w:rPr>
                <w:rFonts w:ascii="Liberation Sans" w:hAnsi="Liberation Sans"/>
                <w:sz w:val="16"/>
              </w:rPr>
              <w:t>On-demand ingestion container</w:t>
            </w:r>
          </w:p>
        </w:tc>
        <w:tc>
          <w:tcPr>
            <w:tcW w:type="dxa" w:w="5256"/>
            <w:tcMar>
              <w:top w:w="70" w:type="dxa"/>
              <w:start w:w="85" w:type="dxa"/>
              <w:bottom w:w="70" w:type="dxa"/>
              <w:end w:w="85" w:type="dxa"/>
            </w:tcMar>
            <w:vAlign w:val="top"/>
          </w:tcPr>
          <w:p>
            <w:pPr>
              <w:spacing w:after="0"/>
            </w:pPr>
            <w:r>
              <w:rPr>
                <w:rFonts w:ascii="Liberation Sans" w:hAnsi="Liberation Sans"/>
                <w:sz w:val="16"/>
              </w:rPr>
              <w:t>Enabled through the ingestion profile; mounts corpus/, data/, config/, and ~/.aws.</w:t>
            </w:r>
          </w:p>
        </w:tc>
      </w:tr>
    </w:tbl>
    <w:p>
      <w:pPr>
        <w:pStyle w:val="SmallNote"/>
      </w:pPr>
    </w:p>
    <w:p>
      <w:pPr>
        <w:pStyle w:val="CodeBlock"/>
        <w:keepLines/>
        <w:shd w:fill="F5F7FA"/>
      </w:pPr>
      <w:r>
        <w:rPr>
          <w:rFonts w:ascii="Liberation Mono" w:hAnsi="Liberation Mono"/>
          <w:sz w:val="16"/>
        </w:rPr>
        <w:t># Build</w:t>
        <w:br/>
        <w:t>docker compose build web</w:t>
        <w:br/>
        <w:t>docker compose --profile ingestion build ingestion</w:t>
        <w:br/>
        <w:br/>
        <w:t># Start database</w:t>
        <w:br/>
        <w:t>docker compose up -d db</w:t>
        <w:br/>
        <w:br/>
        <w:t>docker compose ps</w:t>
      </w:r>
    </w:p>
    <w:p>
      <w:pPr>
        <w:pStyle w:val="Heading2"/>
        <w:keepNext/>
      </w:pPr>
      <w:r>
        <w:t>Database URLs</w:t>
      </w:r>
    </w:p>
    <w:tbl>
      <w:tblPr>
        <w:tblStyle w:val="TableGrid"/>
        <w:tblW w:type="auto" w:w="0"/>
        <w:jc w:val="center"/>
        <w:tblLook w:firstColumn="1" w:firstRow="1" w:lastColumn="0" w:lastRow="0" w:noHBand="0" w:noVBand="1" w:val="04A0"/>
      </w:tblPr>
      <w:tblGrid>
        <w:gridCol w:w="5040"/>
        <w:gridCol w:w="5040"/>
      </w:tblGrid>
      <w:tr>
        <w:trPr>
          <w:tblHeader w:val="true"/>
          <w:cantSplit/>
        </w:trPr>
        <w:tc>
          <w:tcPr>
            <w:tcW w:type="dxa" w:w="2880"/>
            <w:shd w:fill="17365D"/>
            <w:tcMar>
              <w:top w:w="70" w:type="dxa"/>
              <w:start w:w="85" w:type="dxa"/>
              <w:bottom w:w="70" w:type="dxa"/>
              <w:end w:w="85" w:type="dxa"/>
            </w:tcMar>
            <w:vAlign w:val="center"/>
          </w:tcPr>
          <w:p>
            <w:pPr>
              <w:spacing w:after="0"/>
            </w:pPr>
            <w:r>
              <w:rPr>
                <w:rFonts w:ascii="Liberation Sans" w:hAnsi="Liberation Sans"/>
                <w:b/>
                <w:color w:val="FFFFFF"/>
                <w:sz w:val="16"/>
              </w:rPr>
              <w:t>Execution context</w:t>
            </w:r>
          </w:p>
        </w:tc>
        <w:tc>
          <w:tcPr>
            <w:tcW w:type="dxa" w:w="7056"/>
            <w:shd w:fill="17365D"/>
            <w:tcMar>
              <w:top w:w="70" w:type="dxa"/>
              <w:start w:w="85" w:type="dxa"/>
              <w:bottom w:w="70" w:type="dxa"/>
              <w:end w:w="85" w:type="dxa"/>
            </w:tcMar>
            <w:vAlign w:val="center"/>
          </w:tcPr>
          <w:p>
            <w:pPr>
              <w:spacing w:after="0"/>
            </w:pPr>
            <w:r>
              <w:rPr>
                <w:rFonts w:ascii="Liberation Sans" w:hAnsi="Liberation Sans"/>
                <w:b/>
                <w:color w:val="FFFFFF"/>
                <w:sz w:val="16"/>
              </w:rPr>
              <w:t>DATABASE_URL</w:t>
            </w:r>
          </w:p>
        </w:tc>
      </w:tr>
      <w:tr>
        <w:trPr>
          <w:cantSplit/>
        </w:trPr>
        <w:tc>
          <w:tcPr>
            <w:tcW w:type="dxa" w:w="2880"/>
            <w:tcMar>
              <w:top w:w="70" w:type="dxa"/>
              <w:start w:w="85" w:type="dxa"/>
              <w:bottom w:w="70" w:type="dxa"/>
              <w:end w:w="85" w:type="dxa"/>
            </w:tcMar>
            <w:vAlign w:val="top"/>
          </w:tcPr>
          <w:p>
            <w:pPr>
              <w:spacing w:after="0"/>
            </w:pPr>
            <w:r>
              <w:rPr>
                <w:rFonts w:ascii="Liberation Sans" w:hAnsi="Liberation Sans"/>
                <w:sz w:val="16"/>
              </w:rPr>
              <w:t>Inside Docker services</w:t>
            </w:r>
          </w:p>
        </w:tc>
        <w:tc>
          <w:tcPr>
            <w:tcW w:type="dxa" w:w="7056"/>
            <w:tcMar>
              <w:top w:w="70" w:type="dxa"/>
              <w:start w:w="85" w:type="dxa"/>
              <w:bottom w:w="70" w:type="dxa"/>
              <w:end w:w="85" w:type="dxa"/>
            </w:tcMar>
            <w:vAlign w:val="top"/>
          </w:tcPr>
          <w:p>
            <w:pPr>
              <w:spacing w:after="0"/>
            </w:pPr>
            <w:r>
              <w:rPr>
                <w:rFonts w:ascii="Liberation Sans" w:hAnsi="Liberation Sans"/>
                <w:sz w:val="16"/>
              </w:rPr>
              <w:t>postgresql://regulatory_app:local_dev_password@db:5432/regulatory</w:t>
            </w:r>
          </w:p>
        </w:tc>
      </w:tr>
      <w:tr>
        <w:trPr>
          <w:cantSplit/>
        </w:trPr>
        <w:tc>
          <w:tcPr>
            <w:tcW w:type="dxa" w:w="2880"/>
            <w:tcMar>
              <w:top w:w="70" w:type="dxa"/>
              <w:start w:w="85" w:type="dxa"/>
              <w:bottom w:w="70" w:type="dxa"/>
              <w:end w:w="85" w:type="dxa"/>
            </w:tcMar>
            <w:vAlign w:val="top"/>
          </w:tcPr>
          <w:p>
            <w:pPr>
              <w:spacing w:after="0"/>
            </w:pPr>
            <w:r>
              <w:rPr>
                <w:rFonts w:ascii="Liberation Sans" w:hAnsi="Liberation Sans"/>
                <w:sz w:val="16"/>
              </w:rPr>
              <w:t>Direct Python on host</w:t>
            </w:r>
          </w:p>
        </w:tc>
        <w:tc>
          <w:tcPr>
            <w:tcW w:type="dxa" w:w="7056"/>
            <w:tcMar>
              <w:top w:w="70" w:type="dxa"/>
              <w:start w:w="85" w:type="dxa"/>
              <w:bottom w:w="70" w:type="dxa"/>
              <w:end w:w="85" w:type="dxa"/>
            </w:tcMar>
            <w:vAlign w:val="top"/>
          </w:tcPr>
          <w:p>
            <w:pPr>
              <w:spacing w:after="0"/>
            </w:pPr>
            <w:r>
              <w:rPr>
                <w:rFonts w:ascii="Liberation Sans" w:hAnsi="Liberation Sans"/>
                <w:sz w:val="16"/>
              </w:rPr>
              <w:t>postgresql://regulatory_app:local_dev_password@localhost:5433/regulatory (current development default)</w:t>
            </w:r>
          </w:p>
        </w:tc>
      </w:tr>
    </w:tbl>
    <w:p>
      <w:pPr>
        <w:pStyle w:val="SmallNote"/>
      </w:pPr>
    </w:p>
    <w:tbl>
      <w:tblPr>
        <w:tblStyle w:val="TableGrid"/>
        <w:tblW w:type="auto" w:w="0"/>
        <w:jc w:val="center"/>
        <w:tblLook w:firstColumn="1" w:firstRow="1" w:lastColumn="0" w:lastRow="0" w:noHBand="0" w:noVBand="1" w:val="04A0"/>
      </w:tblPr>
      <w:tblGrid>
        <w:gridCol w:w="10080"/>
      </w:tblGrid>
      <w:tr>
        <w:tc>
          <w:tcPr>
            <w:tcW w:type="dxa" w:w="10080"/>
            <w:shd w:fill="FFF2CC"/>
            <w:tcMar>
              <w:top w:w="100" w:type="dxa"/>
              <w:start w:w="120" w:type="dxa"/>
              <w:bottom w:w="100" w:type="dxa"/>
              <w:end w:w="120" w:type="dxa"/>
            </w:tcMar>
          </w:tcPr>
          <w:p>
            <w:pPr>
              <w:spacing w:after="40"/>
            </w:pPr>
            <w:r>
              <w:rPr>
                <w:b/>
                <w:color w:val="17365D"/>
              </w:rPr>
              <w:t xml:space="preserve">Development credential: </w:t>
            </w:r>
            <w:r>
              <w:rPr>
                <w:sz w:val="18"/>
              </w:rPr>
              <w:t>local_dev_password is a local Docker development credential. It must not be reused as a cloud secret or production credential.</w:t>
            </w:r>
          </w:p>
        </w:tc>
      </w:tr>
    </w:tbl>
    <w:p>
      <w:pPr>
        <w:pStyle w:val="SmallNote"/>
      </w:pPr>
    </w:p>
    <w:p>
      <w:pPr>
        <w:pStyle w:val="Heading2"/>
        <w:keepNext/>
      </w:pPr>
      <w:r>
        <w:t>AWS authentication</w:t>
      </w:r>
    </w:p>
    <w:p>
      <w:r>
        <w:t>Both the web and ingestion containers mount the host AWS configuration directory read-only at /root/.aws. Therefore local Docker execution uses the developer AWS profile/credentials to call Bedrock and Textract.</w:t>
      </w:r>
    </w:p>
    <w:p>
      <w:pPr>
        <w:pStyle w:val="CodeBlock"/>
        <w:keepLines/>
        <w:shd w:fill="F5F7FA"/>
      </w:pPr>
      <w:r>
        <w:rPr>
          <w:rFonts w:ascii="Liberation Mono" w:hAnsi="Liberation Mono"/>
          <w:sz w:val="16"/>
        </w:rPr>
        <w:t>aws configure</w:t>
        <w:br/>
        <w:t>aws sts get-caller-identity</w:t>
      </w:r>
    </w:p>
    <w:p>
      <w:pPr>
        <w:pStyle w:val="Heading1"/>
        <w:keepNext/>
      </w:pPr>
      <w:r>
        <w:t>4. Database model and connection behavior</w:t>
      </w:r>
    </w:p>
    <w:p>
      <w:r>
        <w:t>The runtime connection helper is intentionally small: psycopg connects using DATABASE_URL. The database is therefore the shared state boundary between ingestion and runtime analysis.</w:t>
      </w:r>
    </w:p>
    <w:tbl>
      <w:tblPr>
        <w:tblStyle w:val="TableGrid"/>
        <w:tblW w:type="auto" w:w="0"/>
        <w:jc w:val="center"/>
        <w:tblLook w:firstColumn="1" w:firstRow="1" w:lastColumn="0" w:lastRow="0" w:noHBand="0" w:noVBand="1" w:val="04A0"/>
      </w:tblPr>
      <w:tblGrid>
        <w:gridCol w:w="5040"/>
        <w:gridCol w:w="5040"/>
      </w:tblGrid>
      <w:tr>
        <w:trPr>
          <w:tblHeader w:val="true"/>
          <w:cantSplit/>
        </w:trPr>
        <w:tc>
          <w:tcPr>
            <w:tcW w:type="dxa" w:w="2304"/>
            <w:shd w:fill="17365D"/>
            <w:tcMar>
              <w:top w:w="70" w:type="dxa"/>
              <w:start w:w="85" w:type="dxa"/>
              <w:bottom w:w="70" w:type="dxa"/>
              <w:end w:w="85" w:type="dxa"/>
            </w:tcMar>
            <w:vAlign w:val="center"/>
          </w:tcPr>
          <w:p>
            <w:pPr>
              <w:spacing w:after="0"/>
            </w:pPr>
            <w:r>
              <w:rPr>
                <w:rFonts w:ascii="Liberation Sans" w:hAnsi="Liberation Sans"/>
                <w:b/>
                <w:color w:val="FFFFFF"/>
                <w:sz w:val="16"/>
              </w:rPr>
              <w:t>Table</w:t>
            </w:r>
          </w:p>
        </w:tc>
        <w:tc>
          <w:tcPr>
            <w:tcW w:type="dxa" w:w="7632"/>
            <w:shd w:fill="17365D"/>
            <w:tcMar>
              <w:top w:w="70" w:type="dxa"/>
              <w:start w:w="85" w:type="dxa"/>
              <w:bottom w:w="70" w:type="dxa"/>
              <w:end w:w="85" w:type="dxa"/>
            </w:tcMar>
            <w:vAlign w:val="center"/>
          </w:tcPr>
          <w:p>
            <w:pPr>
              <w:spacing w:after="0"/>
            </w:pPr>
            <w:r>
              <w:rPr>
                <w:rFonts w:ascii="Liberation Sans" w:hAnsi="Liberation Sans"/>
                <w:b/>
                <w:color w:val="FFFFFF"/>
                <w:sz w:val="16"/>
              </w:rPr>
              <w:t>Role at runtime</w:t>
            </w:r>
          </w:p>
        </w:tc>
      </w:tr>
      <w:tr>
        <w:trPr>
          <w:cantSplit/>
        </w:trPr>
        <w:tc>
          <w:tcPr>
            <w:tcW w:type="dxa" w:w="2304"/>
            <w:tcMar>
              <w:top w:w="70" w:type="dxa"/>
              <w:start w:w="85" w:type="dxa"/>
              <w:bottom w:w="70" w:type="dxa"/>
              <w:end w:w="85" w:type="dxa"/>
            </w:tcMar>
            <w:vAlign w:val="top"/>
          </w:tcPr>
          <w:p>
            <w:pPr>
              <w:spacing w:after="0"/>
            </w:pPr>
            <w:r>
              <w:rPr>
                <w:rFonts w:ascii="Liberation Sans" w:hAnsi="Liberation Sans"/>
                <w:sz w:val="16"/>
              </w:rPr>
              <w:t>tariff_items</w:t>
            </w:r>
          </w:p>
        </w:tc>
        <w:tc>
          <w:tcPr>
            <w:tcW w:type="dxa" w:w="7632"/>
            <w:tcMar>
              <w:top w:w="70" w:type="dxa"/>
              <w:start w:w="85" w:type="dxa"/>
              <w:bottom w:w="70" w:type="dxa"/>
              <w:end w:w="85" w:type="dxa"/>
            </w:tcMar>
            <w:vAlign w:val="top"/>
          </w:tcPr>
          <w:p>
            <w:pPr>
              <w:spacing w:after="0"/>
            </w:pPr>
            <w:r>
              <w:rPr>
                <w:rFonts w:ascii="Liberation Sans" w:hAnsi="Liberation Sans"/>
                <w:sz w:val="16"/>
              </w:rPr>
              <w:t>Current NC8 tariff items, reconstructed hierarchy, standard tariff fields, source metadata, and 1024-dimensional embedding.</w:t>
            </w:r>
          </w:p>
        </w:tc>
      </w:tr>
      <w:tr>
        <w:trPr>
          <w:cantSplit/>
        </w:trPr>
        <w:tc>
          <w:tcPr>
            <w:tcW w:type="dxa" w:w="2304"/>
            <w:tcMar>
              <w:top w:w="70" w:type="dxa"/>
              <w:start w:w="85" w:type="dxa"/>
              <w:bottom w:w="70" w:type="dxa"/>
              <w:end w:w="85" w:type="dxa"/>
            </w:tcMar>
            <w:vAlign w:val="top"/>
          </w:tcPr>
          <w:p>
            <w:pPr>
              <w:spacing w:after="0"/>
            </w:pPr>
            <w:r>
              <w:rPr>
                <w:rFonts w:ascii="Liberation Sans" w:hAnsi="Liberation Sans"/>
                <w:sz w:val="16"/>
              </w:rPr>
              <w:t>fta_chunks</w:t>
            </w:r>
          </w:p>
        </w:tc>
        <w:tc>
          <w:tcPr>
            <w:tcW w:type="dxa" w:w="7632"/>
            <w:tcMar>
              <w:top w:w="70" w:type="dxa"/>
              <w:start w:w="85" w:type="dxa"/>
              <w:bottom w:w="70" w:type="dxa"/>
              <w:end w:w="85" w:type="dxa"/>
            </w:tcMar>
            <w:vAlign w:val="top"/>
          </w:tcPr>
          <w:p>
            <w:pPr>
              <w:spacing w:after="0"/>
            </w:pPr>
            <w:r>
              <w:rPr>
                <w:rFonts w:ascii="Liberation Sans" w:hAnsi="Liberation Sans"/>
                <w:sz w:val="16"/>
              </w:rPr>
              <w:t>Selected legal provisions used as FTA legal basis.</w:t>
            </w:r>
          </w:p>
        </w:tc>
      </w:tr>
      <w:tr>
        <w:trPr>
          <w:cantSplit/>
        </w:trPr>
        <w:tc>
          <w:tcPr>
            <w:tcW w:type="dxa" w:w="2304"/>
            <w:tcMar>
              <w:top w:w="70" w:type="dxa"/>
              <w:start w:w="85" w:type="dxa"/>
              <w:bottom w:w="70" w:type="dxa"/>
              <w:end w:w="85" w:type="dxa"/>
            </w:tcMar>
            <w:vAlign w:val="top"/>
          </w:tcPr>
          <w:p>
            <w:pPr>
              <w:spacing w:after="0"/>
            </w:pPr>
            <w:r>
              <w:rPr>
                <w:rFonts w:ascii="Liberation Sans" w:hAnsi="Liberation Sans"/>
                <w:sz w:val="16"/>
              </w:rPr>
              <w:t>fta_origin_rules</w:t>
            </w:r>
          </w:p>
        </w:tc>
        <w:tc>
          <w:tcPr>
            <w:tcW w:type="dxa" w:w="7632"/>
            <w:tcMar>
              <w:top w:w="70" w:type="dxa"/>
              <w:start w:w="85" w:type="dxa"/>
              <w:bottom w:w="70" w:type="dxa"/>
              <w:end w:w="85" w:type="dxa"/>
            </w:tcMar>
            <w:vAlign w:val="top"/>
          </w:tcPr>
          <w:p>
            <w:pPr>
              <w:spacing w:after="0"/>
            </w:pPr>
            <w:r>
              <w:rPr>
                <w:rFonts w:ascii="Liberation Sans" w:hAnsi="Liberation Sans"/>
                <w:sz w:val="16"/>
              </w:rPr>
              <w:t>Product-specific preferential origin rules, primarily looked up by agreement and HS code.</w:t>
            </w:r>
          </w:p>
        </w:tc>
      </w:tr>
      <w:tr>
        <w:trPr>
          <w:cantSplit/>
        </w:trPr>
        <w:tc>
          <w:tcPr>
            <w:tcW w:type="dxa" w:w="2304"/>
            <w:tcMar>
              <w:top w:w="70" w:type="dxa"/>
              <w:start w:w="85" w:type="dxa"/>
              <w:bottom w:w="70" w:type="dxa"/>
              <w:end w:w="85" w:type="dxa"/>
            </w:tcMar>
            <w:vAlign w:val="top"/>
          </w:tcPr>
          <w:p>
            <w:pPr>
              <w:spacing w:after="0"/>
            </w:pPr>
            <w:r>
              <w:rPr>
                <w:rFonts w:ascii="Liberation Sans" w:hAnsi="Liberation Sans"/>
                <w:sz w:val="16"/>
              </w:rPr>
              <w:t>fta_tariff_lines</w:t>
            </w:r>
          </w:p>
        </w:tc>
        <w:tc>
          <w:tcPr>
            <w:tcW w:type="dxa" w:w="7632"/>
            <w:tcMar>
              <w:top w:w="70" w:type="dxa"/>
              <w:start w:w="85" w:type="dxa"/>
              <w:bottom w:w="70" w:type="dxa"/>
              <w:end w:w="85" w:type="dxa"/>
            </w:tcMar>
            <w:vAlign w:val="top"/>
          </w:tcPr>
          <w:p>
            <w:pPr>
              <w:spacing w:after="0"/>
            </w:pPr>
            <w:r>
              <w:rPr>
                <w:rFonts w:ascii="Liberation Sans" w:hAnsi="Liberation Sans"/>
                <w:sz w:val="16"/>
              </w:rPr>
              <w:t>Historical FTA tariff schedule lines with hierarchy, base rate/category, source evidence, and embedding.</w:t>
            </w:r>
          </w:p>
        </w:tc>
      </w:tr>
    </w:tbl>
    <w:p>
      <w:pPr>
        <w:pStyle w:val="SmallNote"/>
      </w:pPr>
    </w:p>
    <w:p>
      <w:r>
        <w:t>The pgvector indexes support cosine-distance retrieval. NC retrieval orders all embedded tariff items by vector distance and returns a bounded top-K set (normally five). FTA historical retrieval first filters by agreement and HS4, then performs vector ranking inside that structured subset.</w:t>
      </w:r>
    </w:p>
    <w:p>
      <w:pPr>
        <w:pStyle w:val="CodeBlock"/>
        <w:keepLines/>
        <w:shd w:fill="F5F7FA"/>
      </w:pPr>
      <w:r>
        <w:rPr>
          <w:rFonts w:ascii="Liberation Mono" w:hAnsi="Liberation Mono"/>
          <w:sz w:val="16"/>
        </w:rPr>
        <w:t># Quick DB verification from host</w:t>
        <w:br/>
        <w:t>psql "postgresql://regulatory_app:local_dev_password@localhost:5433/regulatory" \</w:t>
        <w:br/>
        <w:t xml:space="preserve">  -c "SELECT COUNT(*) FROM tariff_items;"</w:t>
        <w:br/>
        <w:br/>
        <w:t># Inspect one HS4 family</w:t>
        <w:br/>
        <w:t>psql "postgresql://regulatory_app:local_dev_password@localhost:5433/regulatory" \</w:t>
        <w:br/>
        <w:t xml:space="preserve">  -c "SELECT nc_code, description, duty_rate FROM tariff_items WHERE heading_4_code='8544' ORDER BY nc_code;"</w:t>
      </w:r>
    </w:p>
    <w:p>
      <w:pPr>
        <w:pStyle w:val="Heading1"/>
        <w:keepNext/>
      </w:pPr>
      <w:r>
        <w:t>5. Storage and cache behavior</w:t>
      </w:r>
    </w:p>
    <w:p>
      <w:r>
        <w:t>The storage layer supports local-only operation and optional S3-backed persistence. It maps application-local paths to stable S3 keys.</w:t>
      </w:r>
    </w:p>
    <w:tbl>
      <w:tblPr>
        <w:tblStyle w:val="TableGrid"/>
        <w:tblW w:type="auto" w:w="0"/>
        <w:jc w:val="center"/>
        <w:tblLook w:firstColumn="1" w:firstRow="1" w:lastColumn="0" w:lastRow="0" w:noHBand="0" w:noVBand="1" w:val="04A0"/>
      </w:tblPr>
      <w:tblGrid>
        <w:gridCol w:w="5040"/>
        <w:gridCol w:w="5040"/>
      </w:tblGrid>
      <w:tr>
        <w:trPr>
          <w:tblHeader w:val="true"/>
          <w:cantSplit/>
        </w:trPr>
        <w:tc>
          <w:tcPr>
            <w:tcW w:type="dxa" w:w="3168"/>
            <w:shd w:fill="17365D"/>
            <w:tcMar>
              <w:top w:w="70" w:type="dxa"/>
              <w:start w:w="85" w:type="dxa"/>
              <w:bottom w:w="70" w:type="dxa"/>
              <w:end w:w="85" w:type="dxa"/>
            </w:tcMar>
            <w:vAlign w:val="center"/>
          </w:tcPr>
          <w:p>
            <w:pPr>
              <w:spacing w:after="0"/>
            </w:pPr>
            <w:r>
              <w:rPr>
                <w:rFonts w:ascii="Liberation Sans" w:hAnsi="Liberation Sans"/>
                <w:b/>
                <w:color w:val="FFFFFF"/>
                <w:sz w:val="16"/>
              </w:rPr>
              <w:t>Local path</w:t>
            </w:r>
          </w:p>
        </w:tc>
        <w:tc>
          <w:tcPr>
            <w:tcW w:type="dxa" w:w="6768"/>
            <w:shd w:fill="17365D"/>
            <w:tcMar>
              <w:top w:w="70" w:type="dxa"/>
              <w:start w:w="85" w:type="dxa"/>
              <w:bottom w:w="70" w:type="dxa"/>
              <w:end w:w="85" w:type="dxa"/>
            </w:tcMar>
            <w:vAlign w:val="center"/>
          </w:tcPr>
          <w:p>
            <w:pPr>
              <w:spacing w:after="0"/>
            </w:pPr>
            <w:r>
              <w:rPr>
                <w:rFonts w:ascii="Liberation Sans" w:hAnsi="Liberation Sans"/>
                <w:b/>
                <w:color w:val="FFFFFF"/>
                <w:sz w:val="16"/>
              </w:rPr>
              <w:t>S3 key family</w:t>
            </w:r>
          </w:p>
        </w:tc>
      </w:tr>
      <w:tr>
        <w:trPr>
          <w:cantSplit/>
        </w:trPr>
        <w:tc>
          <w:tcPr>
            <w:tcW w:type="dxa" w:w="3168"/>
            <w:tcMar>
              <w:top w:w="70" w:type="dxa"/>
              <w:start w:w="85" w:type="dxa"/>
              <w:bottom w:w="70" w:type="dxa"/>
              <w:end w:w="85" w:type="dxa"/>
            </w:tcMar>
            <w:vAlign w:val="top"/>
          </w:tcPr>
          <w:p>
            <w:pPr>
              <w:spacing w:after="0"/>
            </w:pPr>
            <w:r>
              <w:rPr>
                <w:rFonts w:ascii="Liberation Sans" w:hAnsi="Liberation Sans"/>
                <w:sz w:val="16"/>
              </w:rPr>
              <w:t>corpus/...</w:t>
            </w:r>
          </w:p>
        </w:tc>
        <w:tc>
          <w:tcPr>
            <w:tcW w:type="dxa" w:w="6768"/>
            <w:tcMar>
              <w:top w:w="70" w:type="dxa"/>
              <w:start w:w="85" w:type="dxa"/>
              <w:bottom w:w="70" w:type="dxa"/>
              <w:end w:w="85" w:type="dxa"/>
            </w:tcMar>
            <w:vAlign w:val="top"/>
          </w:tcPr>
          <w:p>
            <w:pPr>
              <w:spacing w:after="0"/>
            </w:pPr>
            <w:r>
              <w:rPr>
                <w:rFonts w:ascii="Liberation Sans" w:hAnsi="Liberation Sans"/>
                <w:sz w:val="16"/>
              </w:rPr>
              <w:t>raw/...</w:t>
            </w:r>
          </w:p>
        </w:tc>
      </w:tr>
      <w:tr>
        <w:trPr>
          <w:cantSplit/>
        </w:trPr>
        <w:tc>
          <w:tcPr>
            <w:tcW w:type="dxa" w:w="3168"/>
            <w:tcMar>
              <w:top w:w="70" w:type="dxa"/>
              <w:start w:w="85" w:type="dxa"/>
              <w:bottom w:w="70" w:type="dxa"/>
              <w:end w:w="85" w:type="dxa"/>
            </w:tcMar>
            <w:vAlign w:val="top"/>
          </w:tcPr>
          <w:p>
            <w:pPr>
              <w:spacing w:after="0"/>
            </w:pPr>
            <w:r>
              <w:rPr>
                <w:rFonts w:ascii="Liberation Sans" w:hAnsi="Liberation Sans"/>
                <w:sz w:val="16"/>
              </w:rPr>
              <w:t>data/...</w:t>
            </w:r>
          </w:p>
        </w:tc>
        <w:tc>
          <w:tcPr>
            <w:tcW w:type="dxa" w:w="6768"/>
            <w:tcMar>
              <w:top w:w="70" w:type="dxa"/>
              <w:start w:w="85" w:type="dxa"/>
              <w:bottom w:w="70" w:type="dxa"/>
              <w:end w:w="85" w:type="dxa"/>
            </w:tcMar>
            <w:vAlign w:val="top"/>
          </w:tcPr>
          <w:p>
            <w:pPr>
              <w:spacing w:after="0"/>
            </w:pPr>
            <w:r>
              <w:rPr>
                <w:rFonts w:ascii="Liberation Sans" w:hAnsi="Liberation Sans"/>
                <w:sz w:val="16"/>
              </w:rPr>
              <w:t>processed/...</w:t>
            </w:r>
          </w:p>
        </w:tc>
      </w:tr>
    </w:tbl>
    <w:p>
      <w:pPr>
        <w:pStyle w:val="SmallNote"/>
      </w:pPr>
    </w:p>
    <w:p>
      <w:pPr>
        <w:pStyle w:val="ListBullet"/>
        <w:spacing w:after="40"/>
      </w:pPr>
      <w:r>
        <w:t>ensure_local_file(path): reuse the local file if present; otherwise restore it from S3; otherwise fail.</w:t>
      </w:r>
    </w:p>
    <w:p>
      <w:pPr>
        <w:pStyle w:val="ListBullet"/>
        <w:spacing w:after="40"/>
      </w:pPr>
      <w:r>
        <w:t>restore_cached_file(path): return True when a local or cached artifact is available; return False when generation is required.</w:t>
      </w:r>
    </w:p>
    <w:p>
      <w:pPr>
        <w:pStyle w:val="ListBullet"/>
        <w:spacing w:after="40"/>
      </w:pPr>
      <w:r>
        <w:t>persist_file(path): upload a generated artifact when S3 storage is enabled; no-op in local-only mode.</w:t>
      </w:r>
    </w:p>
    <w:p>
      <w:pPr>
        <w:pStyle w:val="ListBullet"/>
        <w:spacing w:after="40"/>
      </w:pPr>
      <w:r>
        <w:t>The Bedrock client is cached with lru_cache so repeated calls reuse the same boto3 client object inside the process.</w:t>
      </w:r>
    </w:p>
    <w:tbl>
      <w:tblPr>
        <w:tblStyle w:val="TableGrid"/>
        <w:tblW w:type="auto" w:w="0"/>
        <w:jc w:val="center"/>
        <w:tblLook w:firstColumn="1" w:firstRow="1" w:lastColumn="0" w:lastRow="0" w:noHBand="0" w:noVBand="1" w:val="04A0"/>
      </w:tblPr>
      <w:tblGrid>
        <w:gridCol w:w="10080"/>
      </w:tblGrid>
      <w:tr>
        <w:tc>
          <w:tcPr>
            <w:tcW w:type="dxa" w:w="10080"/>
            <w:shd w:fill="FFF2CC"/>
            <w:tcMar>
              <w:top w:w="100" w:type="dxa"/>
              <w:start w:w="120" w:type="dxa"/>
              <w:bottom w:w="100" w:type="dxa"/>
              <w:end w:w="120" w:type="dxa"/>
            </w:tcMar>
          </w:tcPr>
          <w:p>
            <w:pPr>
              <w:spacing w:after="40"/>
            </w:pPr>
            <w:r>
              <w:rPr>
                <w:b/>
                <w:color w:val="17365D"/>
              </w:rPr>
              <w:t xml:space="preserve">Operational consequence: </w:t>
            </w:r>
            <w:r>
              <w:rPr>
                <w:sz w:val="18"/>
              </w:rPr>
              <w:t>Deleting only a local cleaned artifact does not force regeneration when the same artifact still exists in the configured S3 cache. To force a true rebuild, remove or bypass both copies.</w:t>
            </w:r>
          </w:p>
        </w:tc>
      </w:tr>
    </w:tbl>
    <w:p>
      <w:pPr>
        <w:pStyle w:val="SmallNote"/>
      </w:pPr>
    </w:p>
    <w:p>
      <w:pPr>
        <w:pStyle w:val="Heading1"/>
        <w:keepNext/>
      </w:pPr>
      <w:r>
        <w:t>6. NC ingestion pipeline</w:t>
      </w:r>
    </w:p>
    <w:p>
      <w:r>
        <w:t>The NC ingestion runner is intentionally scoped to the pages needed by the prototype scenarios. It runs database migrations first, then extract -&gt; clean -&gt; load -&gt; embed.</w:t>
      </w:r>
    </w:p>
    <w:p>
      <w:pPr>
        <w:pStyle w:val="CodeBlock"/>
        <w:keepLines/>
        <w:shd w:fill="F5F7FA"/>
      </w:pPr>
      <w:r>
        <w:rPr>
          <w:rFonts w:ascii="Liberation Mono" w:hAnsi="Liberation Mono"/>
          <w:sz w:val="16"/>
        </w:rPr>
        <w:t>python -m regulatory_engine.ingestion.nc.run</w:t>
      </w:r>
    </w:p>
    <w:p>
      <w:pPr>
        <w:pStyle w:val="CodeBlock"/>
        <w:keepLines/>
        <w:shd w:fill="F5F7FA"/>
      </w:pPr>
      <w:r>
        <w:rPr>
          <w:rFonts w:ascii="Liberation Mono" w:hAnsi="Liberation Mono"/>
          <w:sz w:val="16"/>
        </w:rPr>
        <w:t>Nomenclature PDF</w:t>
        <w:br/>
        <w:t xml:space="preserve">      |</w:t>
        <w:br/>
        <w:t xml:space="preserve">      v</w:t>
        <w:br/>
        <w:t>selected-page extraction</w:t>
        <w:br/>
        <w:t xml:space="preserve">      |</w:t>
        <w:br/>
        <w:t xml:space="preserve">      v</w:t>
        <w:br/>
        <w:t>raw page CSVs</w:t>
        <w:br/>
        <w:t xml:space="preserve">      |</w:t>
        <w:br/>
        <w:t xml:space="preserve">      v</w:t>
        <w:br/>
        <w:t>hierarchy reconstruction / cleaning</w:t>
        <w:br/>
        <w:t xml:space="preserve">      |</w:t>
        <w:br/>
        <w:t xml:space="preserve">      v</w:t>
        <w:br/>
        <w:t>final NC8 rows</w:t>
        <w:br/>
        <w:t xml:space="preserve">      |</w:t>
        <w:br/>
        <w:t xml:space="preserve">      v</w:t>
        <w:br/>
        <w:t>upsert tariff_items</w:t>
        <w:br/>
        <w:t xml:space="preserve">      |</w:t>
        <w:br/>
        <w:t xml:space="preserve">      v</w:t>
        <w:br/>
        <w:t>embed rows that need embeddings</w:t>
      </w:r>
    </w:p>
    <w:p>
      <w:pPr>
        <w:pStyle w:val="Heading2"/>
        <w:keepNext/>
      </w:pPr>
      <w:r>
        <w:t>Cross-page hierarchy is stateful</w:t>
      </w:r>
    </w:p>
    <w:p>
      <w:r>
        <w:t>The NC cleaner carries active hierarchy state across consecutive pages. A page can start with an 8-digit leaf whose HS4 heading was introduced on the preceding page. The cleaner therefore must process the relevant consecutive sequence together.</w:t>
      </w:r>
    </w:p>
    <w:tbl>
      <w:tblPr>
        <w:tblStyle w:val="TableGrid"/>
        <w:tblW w:type="auto" w:w="0"/>
        <w:jc w:val="center"/>
        <w:tblLook w:firstColumn="1" w:firstRow="1" w:lastColumn="0" w:lastRow="0" w:noHBand="0" w:noVBand="1" w:val="04A0"/>
      </w:tblPr>
      <w:tblGrid>
        <w:gridCol w:w="10080"/>
      </w:tblGrid>
      <w:tr>
        <w:tc>
          <w:tcPr>
            <w:tcW w:type="dxa" w:w="10080"/>
            <w:shd w:fill="E2F0D9"/>
            <w:tcMar>
              <w:top w:w="100" w:type="dxa"/>
              <w:start w:w="120" w:type="dxa"/>
              <w:bottom w:w="100" w:type="dxa"/>
              <w:end w:w="120" w:type="dxa"/>
            </w:tcMar>
          </w:tcPr>
          <w:p>
            <w:pPr>
              <w:spacing w:after="40"/>
            </w:pPr>
            <w:r>
              <w:rPr>
                <w:b/>
                <w:color w:val="17365D"/>
              </w:rPr>
              <w:t xml:space="preserve">Concrete regression discovered during testing: </w:t>
            </w:r>
            <w:r>
              <w:rPr>
                <w:sz w:val="18"/>
              </w:rPr>
              <w:t>Laptop code 84713000 appears on NC page 605, while the 8471 hierarchy context begins on page 604. When page 604 was omitted, valid 8471 leaves on page 605 were skipped as orphan final rows. Adding page 604 before 605 restored the hierarchy and fixed Scenario 1.</w:t>
            </w:r>
          </w:p>
        </w:tc>
      </w:tr>
    </w:tbl>
    <w:p>
      <w:pPr>
        <w:pStyle w:val="SmallNote"/>
      </w:pPr>
    </w:p>
    <w:p>
      <w:pPr>
        <w:pStyle w:val="Heading2"/>
        <w:keepNext/>
      </w:pPr>
      <w:r>
        <w:t>Expected NC ingestion behaviors</w:t>
      </w:r>
    </w:p>
    <w:p>
      <w:pPr>
        <w:pStyle w:val="ListBullet"/>
        <w:spacing w:after="40"/>
      </w:pPr>
      <w:r>
        <w:t>Normalize NC codes while preserving 4-, 6-, and 8-digit hierarchy codes.</w:t>
      </w:r>
    </w:p>
    <w:p>
      <w:pPr>
        <w:pStyle w:val="ListBullet"/>
        <w:spacing w:after="40"/>
      </w:pPr>
      <w:r>
        <w:t>Treat only 8-digit records as final tariff items loaded into tariff_items.</w:t>
      </w:r>
    </w:p>
    <w:p>
      <w:pPr>
        <w:pStyle w:val="ListBullet"/>
        <w:spacing w:after="40"/>
      </w:pPr>
      <w:r>
        <w:t>Carry HS4/HS6/intermediate/subheading context into the reconstructed description.</w:t>
      </w:r>
    </w:p>
    <w:p>
      <w:pPr>
        <w:pStyle w:val="ListBullet"/>
        <w:spacing w:after="40"/>
      </w:pPr>
      <w:r>
        <w:t>Track residual branches (autre/autres/other) so the classifier can distinguish specific and residual siblings.</w:t>
      </w:r>
    </w:p>
    <w:p>
      <w:pPr>
        <w:pStyle w:val="ListBullet"/>
        <w:spacing w:after="40"/>
      </w:pPr>
      <w:r>
        <w:t>Parse only simple numeric/exemption duties into duty_rate; preserve the original duty_text for complex tariffs.</w:t>
      </w:r>
    </w:p>
    <w:p>
      <w:pPr>
        <w:pStyle w:val="ListBullet"/>
        <w:spacing w:after="40"/>
      </w:pPr>
      <w:r>
        <w:t>Regenerate embeddings only when required by the load/update policy.</w:t>
      </w:r>
    </w:p>
    <w:p>
      <w:pPr>
        <w:pStyle w:val="Heading1"/>
        <w:keepNext/>
      </w:pPr>
      <w:r>
        <w:t>7. FTA ingestion pipeline</w:t>
      </w:r>
    </w:p>
    <w:p>
      <w:r>
        <w:t>The FTA runner executes migrations, extraction, cleaning, loading, then tariff embedding.</w:t>
      </w:r>
    </w:p>
    <w:p>
      <w:pPr>
        <w:pStyle w:val="CodeBlock"/>
        <w:keepLines/>
        <w:shd w:fill="F5F7FA"/>
      </w:pPr>
      <w:r>
        <w:rPr>
          <w:rFonts w:ascii="Liberation Mono" w:hAnsi="Liberation Mono"/>
          <w:sz w:val="16"/>
        </w:rPr>
        <w:t>python -m regulatory_engine.ingestion.fta.run</w:t>
      </w:r>
    </w:p>
    <w:p>
      <w:pPr>
        <w:pStyle w:val="CodeBlock"/>
        <w:keepLines/>
        <w:shd w:fill="F5F7FA"/>
      </w:pPr>
      <w:r>
        <w:rPr>
          <w:rFonts w:ascii="Liberation Mono" w:hAnsi="Liberation Mono"/>
          <w:sz w:val="16"/>
        </w:rPr>
        <w:t>extract structured FTA pages</w:t>
        <w:br/>
        <w:t xml:space="preserve">        +</w:t>
        <w:br/>
        <w:t>extract legal text</w:t>
        <w:br/>
        <w:t xml:space="preserve">        |</w:t>
        <w:br/>
        <w:t xml:space="preserve">        v</w:t>
        <w:br/>
        <w:t>clean legal provisions</w:t>
        <w:br/>
        <w:t>clean origin rules</w:t>
        <w:br/>
        <w:t>clean Korea tariff schedule</w:t>
        <w:br/>
        <w:t xml:space="preserve">        |</w:t>
        <w:br/>
        <w:t xml:space="preserve">        v</w:t>
        <w:br/>
        <w:t>load fta_chunks</w:t>
        <w:br/>
        <w:t>load fta_origin_rules</w:t>
        <w:br/>
        <w:t>load fta_tariff_lines</w:t>
        <w:br/>
        <w:t xml:space="preserve">        |</w:t>
        <w:br/>
        <w:t xml:space="preserve">        v</w:t>
        <w:br/>
        <w:t>embed historical tariff lines</w:t>
      </w:r>
    </w:p>
    <w:p>
      <w:r>
        <w:t>Agreement support is configuration-driven through config/fta_agreements.json. The runtime matches exporter/importer text to configured agreements after trimming and lowercasing country names.</w:t>
      </w:r>
    </w:p>
    <w:p>
      <w:pPr>
        <w:pStyle w:val="Heading1"/>
        <w:keepNext/>
      </w:pPr>
      <w:r>
        <w:t>8. Runtime NC classification flow</w:t>
      </w:r>
    </w:p>
    <w:p>
      <w:r>
        <w:t>NC classification consists of semantic candidate retrieval followed by bounded LLM selection.</w:t>
      </w:r>
    </w:p>
    <w:p>
      <w:pPr>
        <w:pStyle w:val="Heading2"/>
        <w:keepNext/>
      </w:pPr>
      <w:r>
        <w:t>Step 1 - Query embedding</w:t>
      </w:r>
    </w:p>
    <w:p>
      <w:r>
        <w:t>classification/retrieval.py sends the user product text to the configured embedding model with input_type="search_query". The returned vector is passed to PostgreSQL as a pgvector value.</w:t>
      </w:r>
    </w:p>
    <w:p>
      <w:pPr>
        <w:pStyle w:val="Heading2"/>
        <w:keepNext/>
      </w:pPr>
      <w:r>
        <w:t>Step 2 - Vector candidate retrieval</w:t>
      </w:r>
    </w:p>
    <w:p>
      <w:r>
        <w:t>tariff_items rows with non-null embeddings are ranked using cosine distance. The default limit is five. Retrieval returns both the reconstructed description and the hierarchy/residual metadata needed for legal discrimination.</w:t>
      </w:r>
    </w:p>
    <w:tbl>
      <w:tblPr>
        <w:tblStyle w:val="TableGrid"/>
        <w:tblW w:type="auto" w:w="0"/>
        <w:jc w:val="center"/>
        <w:tblLook w:firstColumn="1" w:firstRow="1" w:lastColumn="0" w:lastRow="0" w:noHBand="0" w:noVBand="1" w:val="04A0"/>
      </w:tblPr>
      <w:tblGrid>
        <w:gridCol w:w="10080"/>
      </w:tblGrid>
      <w:tr>
        <w:tc>
          <w:tcPr>
            <w:tcW w:type="dxa" w:w="10080"/>
            <w:shd w:fill="E2F0D9"/>
            <w:tcMar>
              <w:top w:w="100" w:type="dxa"/>
              <w:start w:w="120" w:type="dxa"/>
              <w:bottom w:w="100" w:type="dxa"/>
              <w:end w:w="120" w:type="dxa"/>
            </w:tcMar>
          </w:tcPr>
          <w:p>
            <w:pPr>
              <w:spacing w:after="40"/>
            </w:pPr>
            <w:r>
              <w:rPr>
                <w:b/>
                <w:color w:val="17365D"/>
              </w:rPr>
              <w:t xml:space="preserve">Important: </w:t>
            </w:r>
            <w:r>
              <w:rPr>
                <w:sz w:val="18"/>
              </w:rPr>
              <w:t>Vector similarity is retrieval evidence only. The classification prompt explicitly says not to use semantic similarity as classification evidence.</w:t>
            </w:r>
          </w:p>
        </w:tc>
      </w:tr>
    </w:tbl>
    <w:p>
      <w:pPr>
        <w:pStyle w:val="SmallNote"/>
      </w:pPr>
    </w:p>
    <w:p>
      <w:pPr>
        <w:pStyle w:val="Heading2"/>
        <w:keepNext/>
      </w:pPr>
      <w:r>
        <w:t>Step 3 - Nova candidate classification</w:t>
      </w:r>
    </w:p>
    <w:p>
      <w:r>
        <w:t>The classifier receives the product plus each candidate's full hierarchy. It internally distinguishes SUPPORTED, CONTRADICTED, and UNKNOWN and returns one of three public statuses:</w:t>
      </w:r>
    </w:p>
    <w:tbl>
      <w:tblPr>
        <w:tblStyle w:val="TableGrid"/>
        <w:tblW w:type="auto" w:w="0"/>
        <w:jc w:val="center"/>
        <w:tblLook w:firstColumn="1" w:firstRow="1" w:lastColumn="0" w:lastRow="0" w:noHBand="0" w:noVBand="1" w:val="04A0"/>
      </w:tblPr>
      <w:tblGrid>
        <w:gridCol w:w="5040"/>
        <w:gridCol w:w="5040"/>
      </w:tblGrid>
      <w:tr>
        <w:trPr>
          <w:tblHeader w:val="true"/>
          <w:cantSplit/>
        </w:trPr>
        <w:tc>
          <w:tcPr>
            <w:tcW w:type="dxa" w:w="3168"/>
            <w:shd w:fill="17365D"/>
            <w:tcMar>
              <w:top w:w="70" w:type="dxa"/>
              <w:start w:w="85" w:type="dxa"/>
              <w:bottom w:w="70" w:type="dxa"/>
              <w:end w:w="85" w:type="dxa"/>
            </w:tcMar>
            <w:vAlign w:val="center"/>
          </w:tcPr>
          <w:p>
            <w:pPr>
              <w:spacing w:after="0"/>
            </w:pPr>
            <w:r>
              <w:rPr>
                <w:rFonts w:ascii="Liberation Sans" w:hAnsi="Liberation Sans"/>
                <w:b/>
                <w:color w:val="FFFFFF"/>
                <w:sz w:val="16"/>
              </w:rPr>
              <w:t>Status</w:t>
            </w:r>
          </w:p>
        </w:tc>
        <w:tc>
          <w:tcPr>
            <w:tcW w:type="dxa" w:w="6768"/>
            <w:shd w:fill="17365D"/>
            <w:tcMar>
              <w:top w:w="70" w:type="dxa"/>
              <w:start w:w="85" w:type="dxa"/>
              <w:bottom w:w="70" w:type="dxa"/>
              <w:end w:w="85" w:type="dxa"/>
            </w:tcMar>
            <w:vAlign w:val="center"/>
          </w:tcPr>
          <w:p>
            <w:pPr>
              <w:spacing w:after="0"/>
            </w:pPr>
            <w:r>
              <w:rPr>
                <w:rFonts w:ascii="Liberation Sans" w:hAnsi="Liberation Sans"/>
                <w:b/>
                <w:color w:val="FFFFFF"/>
                <w:sz w:val="16"/>
              </w:rPr>
              <w:t>Meaning</w:t>
            </w:r>
          </w:p>
        </w:tc>
      </w:tr>
      <w:tr>
        <w:trPr>
          <w:cantSplit/>
        </w:trPr>
        <w:tc>
          <w:tcPr>
            <w:tcW w:type="dxa" w:w="3168"/>
            <w:tcMar>
              <w:top w:w="70" w:type="dxa"/>
              <w:start w:w="85" w:type="dxa"/>
              <w:bottom w:w="70" w:type="dxa"/>
              <w:end w:w="85" w:type="dxa"/>
            </w:tcMar>
            <w:vAlign w:val="top"/>
          </w:tcPr>
          <w:p>
            <w:pPr>
              <w:spacing w:after="0"/>
            </w:pPr>
            <w:r>
              <w:rPr>
                <w:rFonts w:ascii="Liberation Sans" w:hAnsi="Liberation Sans"/>
                <w:sz w:val="16"/>
              </w:rPr>
              <w:t>SUPPORTED</w:t>
            </w:r>
          </w:p>
        </w:tc>
        <w:tc>
          <w:tcPr>
            <w:tcW w:type="dxa" w:w="6768"/>
            <w:tcMar>
              <w:top w:w="70" w:type="dxa"/>
              <w:start w:w="85" w:type="dxa"/>
              <w:bottom w:w="70" w:type="dxa"/>
              <w:end w:w="85" w:type="dxa"/>
            </w:tcMar>
            <w:vAlign w:val="top"/>
          </w:tcPr>
          <w:p>
            <w:pPr>
              <w:spacing w:after="0"/>
            </w:pPr>
            <w:r>
              <w:rPr>
                <w:rFonts w:ascii="Liberation Sans" w:hAnsi="Liberation Sans"/>
                <w:sz w:val="16"/>
              </w:rPr>
              <w:t>One exact NC candidate is sufficiently supported by the supplied product description.</w:t>
            </w:r>
          </w:p>
        </w:tc>
      </w:tr>
      <w:tr>
        <w:trPr>
          <w:cantSplit/>
        </w:trPr>
        <w:tc>
          <w:tcPr>
            <w:tcW w:type="dxa" w:w="3168"/>
            <w:tcMar>
              <w:top w:w="70" w:type="dxa"/>
              <w:start w:w="85" w:type="dxa"/>
              <w:bottom w:w="70" w:type="dxa"/>
              <w:end w:w="85" w:type="dxa"/>
            </w:tcMar>
            <w:vAlign w:val="top"/>
          </w:tcPr>
          <w:p>
            <w:pPr>
              <w:spacing w:after="0"/>
            </w:pPr>
            <w:r>
              <w:rPr>
                <w:rFonts w:ascii="Liberation Sans" w:hAnsi="Liberation Sans"/>
                <w:sz w:val="16"/>
              </w:rPr>
              <w:t>UNCERTAIN_CLASSIFICATION</w:t>
            </w:r>
          </w:p>
        </w:tc>
        <w:tc>
          <w:tcPr>
            <w:tcW w:type="dxa" w:w="6768"/>
            <w:tcMar>
              <w:top w:w="70" w:type="dxa"/>
              <w:start w:w="85" w:type="dxa"/>
              <w:bottom w:w="70" w:type="dxa"/>
              <w:end w:w="85" w:type="dxa"/>
            </w:tcMar>
            <w:vAlign w:val="top"/>
          </w:tcPr>
          <w:p>
            <w:pPr>
              <w:spacing w:after="0"/>
            </w:pPr>
            <w:r>
              <w:rPr>
                <w:rFonts w:ascii="Liberation Sans" w:hAnsi="Liberation Sans"/>
                <w:sz w:val="16"/>
              </w:rPr>
              <w:t>At least two materially plausible candidates remain and missing product information is required to distinguish them.</w:t>
            </w:r>
          </w:p>
        </w:tc>
      </w:tr>
      <w:tr>
        <w:trPr>
          <w:cantSplit/>
        </w:trPr>
        <w:tc>
          <w:tcPr>
            <w:tcW w:type="dxa" w:w="3168"/>
            <w:tcMar>
              <w:top w:w="70" w:type="dxa"/>
              <w:start w:w="85" w:type="dxa"/>
              <w:bottom w:w="70" w:type="dxa"/>
              <w:end w:w="85" w:type="dxa"/>
            </w:tcMar>
            <w:vAlign w:val="top"/>
          </w:tcPr>
          <w:p>
            <w:pPr>
              <w:spacing w:after="0"/>
            </w:pPr>
            <w:r>
              <w:rPr>
                <w:rFonts w:ascii="Liberation Sans" w:hAnsi="Liberation Sans"/>
                <w:sz w:val="16"/>
              </w:rPr>
              <w:t>NO_RELEVANT_CANDIDATE</w:t>
            </w:r>
          </w:p>
        </w:tc>
        <w:tc>
          <w:tcPr>
            <w:tcW w:type="dxa" w:w="6768"/>
            <w:tcMar>
              <w:top w:w="70" w:type="dxa"/>
              <w:start w:w="85" w:type="dxa"/>
              <w:bottom w:w="70" w:type="dxa"/>
              <w:end w:w="85" w:type="dxa"/>
            </w:tcMar>
            <w:vAlign w:val="top"/>
          </w:tcPr>
          <w:p>
            <w:pPr>
              <w:spacing w:after="0"/>
            </w:pPr>
            <w:r>
              <w:rPr>
                <w:rFonts w:ascii="Liberation Sans" w:hAnsi="Liberation Sans"/>
                <w:sz w:val="16"/>
              </w:rPr>
              <w:t>The retrieved set does not contain a candidate describing the same fundamental product type.</w:t>
            </w:r>
          </w:p>
        </w:tc>
      </w:tr>
    </w:tbl>
    <w:p>
      <w:pPr>
        <w:pStyle w:val="SmallNote"/>
      </w:pPr>
    </w:p>
    <w:p>
      <w:pPr>
        <w:pStyle w:val="Heading2"/>
        <w:keepNext/>
      </w:pPr>
      <w:r>
        <w:t>Classifier safeguards</w:t>
      </w:r>
    </w:p>
    <w:p>
      <w:pPr>
        <w:pStyle w:val="ListBullet"/>
        <w:spacing w:after="40"/>
      </w:pPr>
      <w:r>
        <w:t>Evaluate the full cumulative hierarchy rather than only the leaf description.</w:t>
      </w:r>
    </w:p>
    <w:p>
      <w:pPr>
        <w:pStyle w:val="ListBullet"/>
        <w:spacing w:after="40"/>
      </w:pPr>
      <w:r>
        <w:t>Do not invent intended use, voltage, composition, dimensions, construction, or performance.</w:t>
      </w:r>
    </w:p>
    <w:p>
      <w:pPr>
        <w:pStyle w:val="ListBullet"/>
        <w:spacing w:after="40"/>
      </w:pPr>
      <w:r>
        <w:t>Do not select a residual branch merely because a more specific sibling needs missing information.</w:t>
      </w:r>
    </w:p>
    <w:p>
      <w:pPr>
        <w:pStyle w:val="ListBullet"/>
        <w:spacing w:after="40"/>
      </w:pPr>
      <w:r>
        <w:t>Prefer a supported specific sibling over a residual sibling.</w:t>
      </w:r>
    </w:p>
    <w:p>
      <w:pPr>
        <w:pStyle w:val="ListBullet"/>
        <w:spacing w:after="40"/>
      </w:pPr>
      <w:r>
        <w:t>Return missing_information only for genuinely absent characteristics needed to resolve remaining plausible candidates.</w:t>
      </w:r>
    </w:p>
    <w:p>
      <w:pPr>
        <w:pStyle w:val="Heading1"/>
        <w:keepNext/>
      </w:pPr>
      <w:r>
        <w:t>9. Standard tariff calculation and uncertainty handling</w:t>
      </w:r>
    </w:p>
    <w:p>
      <w:r>
        <w:t>The standard tariff calculator is deterministic and operates only after an exact NC code has been selected.</w:t>
      </w:r>
    </w:p>
    <w:tbl>
      <w:tblPr>
        <w:tblStyle w:val="TableGrid"/>
        <w:tblW w:type="auto" w:w="0"/>
        <w:jc w:val="center"/>
        <w:tblLook w:firstColumn="1" w:firstRow="1" w:lastColumn="0" w:lastRow="0" w:noHBand="0" w:noVBand="1" w:val="04A0"/>
      </w:tblPr>
      <w:tblGrid>
        <w:gridCol w:w="5040"/>
        <w:gridCol w:w="5040"/>
      </w:tblGrid>
      <w:tr>
        <w:trPr>
          <w:tblHeader w:val="true"/>
          <w:cantSplit/>
        </w:trPr>
        <w:tc>
          <w:tcPr>
            <w:tcW w:type="dxa" w:w="3168"/>
            <w:shd w:fill="17365D"/>
            <w:tcMar>
              <w:top w:w="70" w:type="dxa"/>
              <w:start w:w="85" w:type="dxa"/>
              <w:bottom w:w="70" w:type="dxa"/>
              <w:end w:w="85" w:type="dxa"/>
            </w:tcMar>
            <w:vAlign w:val="center"/>
          </w:tcPr>
          <w:p>
            <w:pPr>
              <w:spacing w:after="0"/>
            </w:pPr>
            <w:r>
              <w:rPr>
                <w:rFonts w:ascii="Liberation Sans" w:hAnsi="Liberation Sans"/>
                <w:b/>
                <w:color w:val="FFFFFF"/>
                <w:sz w:val="16"/>
              </w:rPr>
              <w:t>Tariff type</w:t>
            </w:r>
          </w:p>
        </w:tc>
        <w:tc>
          <w:tcPr>
            <w:tcW w:type="dxa" w:w="6768"/>
            <w:shd w:fill="17365D"/>
            <w:tcMar>
              <w:top w:w="70" w:type="dxa"/>
              <w:start w:w="85" w:type="dxa"/>
              <w:bottom w:w="70" w:type="dxa"/>
              <w:end w:w="85" w:type="dxa"/>
            </w:tcMar>
            <w:vAlign w:val="center"/>
          </w:tcPr>
          <w:p>
            <w:pPr>
              <w:spacing w:after="0"/>
            </w:pPr>
            <w:r>
              <w:rPr>
                <w:rFonts w:ascii="Liberation Sans" w:hAnsi="Liberation Sans"/>
                <w:b/>
                <w:color w:val="FFFFFF"/>
                <w:sz w:val="16"/>
              </w:rPr>
              <w:t>Behavior</w:t>
            </w:r>
          </w:p>
        </w:tc>
      </w:tr>
      <w:tr>
        <w:trPr>
          <w:cantSplit/>
        </w:trPr>
        <w:tc>
          <w:tcPr>
            <w:tcW w:type="dxa" w:w="3168"/>
            <w:tcMar>
              <w:top w:w="70" w:type="dxa"/>
              <w:start w:w="85" w:type="dxa"/>
              <w:bottom w:w="70" w:type="dxa"/>
              <w:end w:w="85" w:type="dxa"/>
            </w:tcMar>
            <w:vAlign w:val="top"/>
          </w:tcPr>
          <w:p>
            <w:pPr>
              <w:spacing w:after="0"/>
            </w:pPr>
            <w:r>
              <w:rPr>
                <w:rFonts w:ascii="Liberation Sans" w:hAnsi="Liberation Sans"/>
                <w:sz w:val="16"/>
              </w:rPr>
              <w:t>Simple percentage / exemption</w:t>
            </w:r>
          </w:p>
        </w:tc>
        <w:tc>
          <w:tcPr>
            <w:tcW w:type="dxa" w:w="6768"/>
            <w:tcMar>
              <w:top w:w="70" w:type="dxa"/>
              <w:start w:w="85" w:type="dxa"/>
              <w:bottom w:w="70" w:type="dxa"/>
              <w:end w:w="85" w:type="dxa"/>
            </w:tcMar>
            <w:vAlign w:val="top"/>
          </w:tcPr>
          <w:p>
            <w:pPr>
              <w:spacing w:after="0"/>
            </w:pPr>
            <w:r>
              <w:rPr>
                <w:rFonts w:ascii="Liberation Sans" w:hAnsi="Liberation Sans"/>
                <w:sz w:val="16"/>
              </w:rPr>
              <w:t>Calculate goods_value_eur x rate / 100 and return SUPPORTED.</w:t>
            </w:r>
          </w:p>
        </w:tc>
      </w:tr>
      <w:tr>
        <w:trPr>
          <w:cantSplit/>
        </w:trPr>
        <w:tc>
          <w:tcPr>
            <w:tcW w:type="dxa" w:w="3168"/>
            <w:tcMar>
              <w:top w:w="70" w:type="dxa"/>
              <w:start w:w="85" w:type="dxa"/>
              <w:bottom w:w="70" w:type="dxa"/>
              <w:end w:w="85" w:type="dxa"/>
            </w:tcMar>
            <w:vAlign w:val="top"/>
          </w:tcPr>
          <w:p>
            <w:pPr>
              <w:spacing w:after="0"/>
            </w:pPr>
            <w:r>
              <w:rPr>
                <w:rFonts w:ascii="Liberation Sans" w:hAnsi="Liberation Sans"/>
                <w:sz w:val="16"/>
              </w:rPr>
              <w:t>Specific or complex tariff</w:t>
            </w:r>
          </w:p>
        </w:tc>
        <w:tc>
          <w:tcPr>
            <w:tcW w:type="dxa" w:w="6768"/>
            <w:tcMar>
              <w:top w:w="70" w:type="dxa"/>
              <w:start w:w="85" w:type="dxa"/>
              <w:bottom w:w="70" w:type="dxa"/>
              <w:end w:w="85" w:type="dxa"/>
            </w:tcMar>
            <w:vAlign w:val="top"/>
          </w:tcPr>
          <w:p>
            <w:pPr>
              <w:spacing w:after="0"/>
            </w:pPr>
            <w:r>
              <w:rPr>
                <w:rFonts w:ascii="Liberation Sans" w:hAnsi="Liberation Sans"/>
                <w:sz w:val="16"/>
              </w:rPr>
              <w:t>Do not invent a percentage. Return MISSING_PRODUCT_INFORMATION and request quantity/weight information.</w:t>
            </w:r>
          </w:p>
        </w:tc>
      </w:tr>
      <w:tr>
        <w:trPr>
          <w:cantSplit/>
        </w:trPr>
        <w:tc>
          <w:tcPr>
            <w:tcW w:type="dxa" w:w="3168"/>
            <w:tcMar>
              <w:top w:w="70" w:type="dxa"/>
              <w:start w:w="85" w:type="dxa"/>
              <w:bottom w:w="70" w:type="dxa"/>
              <w:end w:w="85" w:type="dxa"/>
            </w:tcMar>
            <w:vAlign w:val="top"/>
          </w:tcPr>
          <w:p>
            <w:pPr>
              <w:spacing w:after="0"/>
            </w:pPr>
            <w:r>
              <w:rPr>
                <w:rFonts w:ascii="Liberation Sans" w:hAnsi="Liberation Sans"/>
                <w:sz w:val="16"/>
              </w:rPr>
              <w:t>Exact NC unresolved</w:t>
            </w:r>
          </w:p>
        </w:tc>
        <w:tc>
          <w:tcPr>
            <w:tcW w:type="dxa" w:w="6768"/>
            <w:tcMar>
              <w:top w:w="70" w:type="dxa"/>
              <w:start w:w="85" w:type="dxa"/>
              <w:bottom w:w="70" w:type="dxa"/>
              <w:end w:w="85" w:type="dxa"/>
            </w:tcMar>
            <w:vAlign w:val="top"/>
          </w:tcPr>
          <w:p>
            <w:pPr>
              <w:spacing w:after="0"/>
            </w:pPr>
            <w:r>
              <w:rPr>
                <w:rFonts w:ascii="Liberation Sans" w:hAnsi="Liberation Sans"/>
                <w:sz w:val="16"/>
              </w:rPr>
              <w:t>Do not calculate a standard tariff from the top-K semantic candidate rates.</w:t>
            </w:r>
          </w:p>
        </w:tc>
      </w:tr>
    </w:tbl>
    <w:p>
      <w:pPr>
        <w:pStyle w:val="SmallNote"/>
      </w:pPr>
    </w:p>
    <w:tbl>
      <w:tblPr>
        <w:tblStyle w:val="TableGrid"/>
        <w:tblW w:type="auto" w:w="0"/>
        <w:jc w:val="center"/>
        <w:tblLook w:firstColumn="1" w:firstRow="1" w:lastColumn="0" w:lastRow="0" w:noHBand="0" w:noVBand="1" w:val="04A0"/>
      </w:tblPr>
      <w:tblGrid>
        <w:gridCol w:w="10080"/>
      </w:tblGrid>
      <w:tr>
        <w:tc>
          <w:tcPr>
            <w:tcW w:type="dxa" w:w="10080"/>
            <w:shd w:fill="E2F0D9"/>
            <w:tcMar>
              <w:top w:w="100" w:type="dxa"/>
              <w:start w:w="120" w:type="dxa"/>
              <w:bottom w:w="100" w:type="dxa"/>
              <w:end w:w="120" w:type="dxa"/>
            </w:tcMar>
          </w:tcPr>
          <w:p>
            <w:pPr>
              <w:spacing w:after="40"/>
            </w:pPr>
            <w:r>
              <w:rPr>
                <w:b/>
                <w:color w:val="17365D"/>
              </w:rPr>
              <w:t xml:space="preserve">Accuracy fix from Scenario 2: </w:t>
            </w:r>
            <w:r>
              <w:rPr>
                <w:sz w:val="18"/>
              </w:rPr>
              <w:t>The engine previously inferred 3.7% for Morocco cables because all top-5 semantic candidates happened to have the same HS4 and duty rate. That was removed: top-K retrieval is not the complete legal universe. A common HS4 may be used for FTA/origin lookup, but the standard rate remains unknown until the exact NC8 branch is established.</w:t>
            </w:r>
          </w:p>
        </w:tc>
      </w:tr>
    </w:tbl>
    <w:p>
      <w:pPr>
        <w:pStyle w:val="SmallNote"/>
      </w:pPr>
    </w:p>
    <w:p>
      <w:pPr>
        <w:pStyle w:val="Heading2"/>
        <w:keepNext/>
      </w:pPr>
      <w:r>
        <w:t>Specific-tariff example</w:t>
      </w:r>
    </w:p>
    <w:p>
      <w:pPr>
        <w:pStyle w:val="CodeBlock"/>
        <w:keepLines/>
        <w:shd w:fill="F5F7FA"/>
      </w:pPr>
      <w:r>
        <w:rPr>
          <w:rFonts w:ascii="Liberation Mono" w:hAnsi="Liberation Mono"/>
          <w:sz w:val="16"/>
        </w:rPr>
        <w:t>Product: Huile d'olive vierge extra bio</w:t>
        <w:br/>
        <w:t>NC:      15092000</w:t>
        <w:br/>
        <w:t>Duty:    124.5 EUR / 100 kg net</w:t>
        <w:br/>
        <w:br/>
        <w:t>Goods value alone is insufficient.</w:t>
        <w:br/>
        <w:t>Required additional information: net weight.</w:t>
      </w:r>
    </w:p>
    <w:p>
      <w:pPr>
        <w:pStyle w:val="Heading1"/>
        <w:keepNext/>
      </w:pPr>
      <w:r>
        <w:t>10. FTA and historical tariff reconciliation</w:t>
      </w:r>
    </w:p>
    <w:p>
      <w:r>
        <w:t>FTA analysis is triggered after classification when the exporter/importer pair matches a supported agreement. The context builder combines three evidence types: legal basis, origin rule, and optional historical tariff schedule reconciliation.</w:t>
      </w:r>
    </w:p>
    <w:p>
      <w:pPr>
        <w:pStyle w:val="CodeBlock"/>
        <w:keepLines/>
        <w:shd w:fill="F5F7FA"/>
      </w:pPr>
      <w:r>
        <w:rPr>
          <w:rFonts w:ascii="Liberation Mono" w:hAnsi="Liberation Mono"/>
          <w:sz w:val="16"/>
        </w:rPr>
        <w:t>exporter + importer</w:t>
        <w:br/>
        <w:t xml:space="preserve">       |</w:t>
        <w:br/>
        <w:t xml:space="preserve">       v</w:t>
        <w:br/>
        <w:t>find applicable configured agreement</w:t>
        <w:br/>
        <w:t xml:space="preserve">       |</w:t>
        <w:br/>
        <w:t xml:space="preserve">       +--&gt; find legal basis</w:t>
        <w:br/>
        <w:t xml:space="preserve">       +--&gt; find origin rule (agreement + HS code)</w:t>
        <w:br/>
        <w:t xml:space="preserve">       +--&gt; historical tariff reconciliation if agreement defines tariff_schedule</w:t>
        <w:br/>
        <w:t xml:space="preserve">       |</w:t>
        <w:br/>
        <w:t xml:space="preserve">       v</w:t>
        <w:br/>
        <w:t>preferential context</w:t>
      </w:r>
    </w:p>
    <w:p>
      <w:pPr>
        <w:pStyle w:val="Heading2"/>
        <w:keepNext/>
      </w:pPr>
      <w:r>
        <w:t>Origin verification</w:t>
      </w:r>
    </w:p>
    <w:p>
      <w:r>
        <w:t>The runtime explicitly marks origin as NOT_VERIFIED because the evaluation inputs identify an export country but do not provide manufacturing or non-originating material/value evidence. This prevents the country of export from being treated as proof of preferential origin.</w:t>
      </w:r>
    </w:p>
    <w:p>
      <w:pPr>
        <w:pStyle w:val="Heading2"/>
        <w:keepNext/>
      </w:pPr>
      <w:r>
        <w:t>Historical tariff reconciliation</w:t>
      </w:r>
    </w:p>
    <w:p>
      <w:r>
        <w:t>For agreements such as EU-Korea, the current NC code can differ from the historical schedule nomenclature. The engine therefore uses a two-stage approach:</w:t>
      </w:r>
    </w:p>
    <w:p>
      <w:pPr>
        <w:pStyle w:val="ListNumber"/>
        <w:spacing w:after="40"/>
      </w:pPr>
      <w:r>
        <w:t>Derive the current HS4 from the current NC code and structurally restrict fta_tariff_lines to the same agreement and HS4.</w:t>
      </w:r>
    </w:p>
    <w:p>
      <w:pPr>
        <w:pStyle w:val="ListNumber"/>
        <w:spacing w:after="40"/>
      </w:pPr>
      <w:r>
        <w:t>Embed the product description and rank only those historical lines semantically.</w:t>
      </w:r>
    </w:p>
    <w:p>
      <w:pPr>
        <w:pStyle w:val="ListNumber"/>
        <w:spacing w:after="40"/>
      </w:pPr>
      <w:r>
        <w:t>Send the bounded candidates plus the current NC description to Nova.</w:t>
      </w:r>
    </w:p>
    <w:p>
      <w:pPr>
        <w:pStyle w:val="ListNumber"/>
        <w:spacing w:after="40"/>
      </w:pPr>
      <w:r>
        <w:t>Require SUPPORTED, UNCERTAIN, or NO_RELEVANT_CANDIDATE. A SUPPORTED response must reference a code that actually exists in the retrieved candidate set.</w:t>
      </w:r>
    </w:p>
    <w:tbl>
      <w:tblPr>
        <w:tblStyle w:val="TableGrid"/>
        <w:tblW w:type="auto" w:w="0"/>
        <w:jc w:val="center"/>
        <w:tblLook w:firstColumn="1" w:firstRow="1" w:lastColumn="0" w:lastRow="0" w:noHBand="0" w:noVBand="1" w:val="04A0"/>
      </w:tblPr>
      <w:tblGrid>
        <w:gridCol w:w="10080"/>
      </w:tblGrid>
      <w:tr>
        <w:tc>
          <w:tcPr>
            <w:tcW w:type="dxa" w:w="10080"/>
            <w:shd w:fill="FFF2CC"/>
            <w:tcMar>
              <w:top w:w="100" w:type="dxa"/>
              <w:start w:w="120" w:type="dxa"/>
              <w:bottom w:w="100" w:type="dxa"/>
              <w:end w:w="120" w:type="dxa"/>
            </w:tcMar>
          </w:tcPr>
          <w:p>
            <w:pPr>
              <w:spacing w:after="40"/>
            </w:pPr>
            <w:r>
              <w:rPr>
                <w:b/>
                <w:color w:val="17365D"/>
              </w:rPr>
              <w:t xml:space="preserve">Scenario 3 behavior: </w:t>
            </w:r>
            <w:r>
              <w:rPr>
                <w:sz w:val="18"/>
              </w:rPr>
              <w:t>A 27-inch LCD monitor can map differently depending on whether it is principally intended for use with an automatic data-processing system. The current and historical nomenclatures both preserve this distinction. If the product description does not establish intended use, returning uncertainty is preferable to inventing a historical match or preferential rate.</w:t>
            </w:r>
          </w:p>
        </w:tc>
      </w:tr>
    </w:tbl>
    <w:p>
      <w:pPr>
        <w:pStyle w:val="SmallNote"/>
      </w:pPr>
    </w:p>
    <w:p>
      <w:pPr>
        <w:pStyle w:val="Heading2"/>
        <w:keepNext/>
      </w:pPr>
      <w:r>
        <w:t>Preferential rate determination</w:t>
      </w:r>
    </w:p>
    <w:p>
      <w:pPr>
        <w:pStyle w:val="ListBullet"/>
        <w:spacing w:after="40"/>
      </w:pPr>
      <w:r>
        <w:t>A historical FTA line can directly support 0% only when the selected schedule line explicitly states exemption and base_rate_pct is 0.</w:t>
      </w:r>
    </w:p>
    <w:p>
      <w:pPr>
        <w:pStyle w:val="ListBullet"/>
        <w:spacing w:after="40"/>
      </w:pPr>
      <w:r>
        <w:t>A legal provision can directly support 0% when the retrieved text explicitly states exemption from customs duties.</w:t>
      </w:r>
    </w:p>
    <w:p>
      <w:pPr>
        <w:pStyle w:val="ListBullet"/>
        <w:spacing w:after="40"/>
      </w:pPr>
      <w:r>
        <w:t>Tariff dismantling categories are intentionally not interpreted by the current application logic.</w:t>
      </w:r>
    </w:p>
    <w:p>
      <w:pPr>
        <w:pStyle w:val="ListBullet"/>
        <w:spacing w:after="40"/>
      </w:pPr>
      <w:r>
        <w:t>If the preferential rate is supported but the standard rate is unknown, preferential duty may be shown conditionally while the monetary saving remains unknown.</w:t>
      </w:r>
    </w:p>
    <w:p>
      <w:pPr>
        <w:pStyle w:val="Heading1"/>
        <w:keepNext/>
      </w:pPr>
      <w:r>
        <w:t>11. Application entry point and Streamlit layer</w:t>
      </w:r>
    </w:p>
    <w:p>
      <w:r>
        <w:t>The public Python interface is evaluate_import(request: ImportRequest). The UI does not contain independent regulatory logic; it creates the request, calls the application layer, and renders the returned structure.</w:t>
      </w:r>
    </w:p>
    <w:p>
      <w:pPr>
        <w:pStyle w:val="CodeBlock"/>
        <w:keepLines/>
        <w:shd w:fill="F5F7FA"/>
      </w:pPr>
      <w:r>
        <w:rPr>
          <w:rFonts w:ascii="Liberation Mono" w:hAnsi="Liberation Mono"/>
          <w:sz w:val="16"/>
        </w:rPr>
        <w:t>ImportRequest(</w:t>
        <w:br/>
        <w:t xml:space="preserve">    produit=...,</w:t>
        <w:br/>
        <w:t xml:space="preserve">    pays_exportateur=...,</w:t>
        <w:br/>
        <w:t xml:space="preserve">    pays_importateur=...,</w:t>
        <w:br/>
        <w:t xml:space="preserve">    valeur_marchandise_eur=...,</w:t>
        <w:br/>
        <w:t>)</w:t>
        <w:br/>
        <w:br/>
        <w:t>result = evaluate_import(request)</w:t>
      </w:r>
    </w:p>
    <w:p>
      <w:pPr>
        <w:pStyle w:val="Heading2"/>
        <w:keepNext/>
      </w:pPr>
      <w:r>
        <w:t>The Streamlit layer presents:</w:t>
      </w:r>
    </w:p>
    <w:p>
      <w:pPr>
        <w:pStyle w:val="ListBullet"/>
        <w:spacing w:after="40"/>
      </w:pPr>
      <w:r>
        <w:t>NC code and classification status/reason.</w:t>
      </w:r>
    </w:p>
    <w:p>
      <w:pPr>
        <w:pStyle w:val="ListBullet"/>
        <w:spacing w:after="40"/>
      </w:pPr>
      <w:r>
        <w:t>Standard tariff rate and estimated customs duty when available.</w:t>
      </w:r>
    </w:p>
    <w:p>
      <w:pPr>
        <w:pStyle w:val="ListBullet"/>
        <w:spacing w:after="40"/>
      </w:pPr>
      <w:r>
        <w:t>Agreement name, preferential rate/duty, and potential saving when available.</w:t>
      </w:r>
    </w:p>
    <w:p>
      <w:pPr>
        <w:pStyle w:val="ListBullet"/>
        <w:spacing w:after="40"/>
      </w:pPr>
      <w:r>
        <w:t>Origin verification warning and origin rule.</w:t>
      </w:r>
    </w:p>
    <w:p>
      <w:pPr>
        <w:pStyle w:val="ListBullet"/>
        <w:spacing w:after="40"/>
      </w:pPr>
      <w:r>
        <w:t>Expandable source excerpts for FTA legal basis, origin rule, and tariff schedule.</w:t>
      </w:r>
    </w:p>
    <w:p>
      <w:pPr>
        <w:pStyle w:val="ListBullet"/>
        <w:spacing w:after="40"/>
      </w:pPr>
      <w:r>
        <w:t>The complete technical JSON result in an expandable panel.</w:t>
      </w:r>
    </w:p>
    <w:p>
      <w:pPr>
        <w:pStyle w:val="CodeBlock"/>
        <w:keepLines/>
        <w:shd w:fill="F5F7FA"/>
      </w:pPr>
      <w:r>
        <w:rPr>
          <w:rFonts w:ascii="Liberation Mono" w:hAnsi="Liberation Mono"/>
          <w:sz w:val="16"/>
        </w:rPr>
        <w:t># Start through Docker Compose</w:t>
        <w:br/>
        <w:t>docker compose up -d web</w:t>
        <w:br/>
        <w:br/>
        <w:t># Open locally</w:t>
        <w:br/>
        <w:t>http://localhost:8501</w:t>
        <w:br/>
        <w:br/>
        <w:t># Logs</w:t>
        <w:br/>
        <w:t>docker compose logs -f web</w:t>
      </w:r>
    </w:p>
    <w:p>
      <w:pPr>
        <w:pStyle w:val="Heading1"/>
        <w:keepNext/>
      </w:pPr>
      <w:r>
        <w:t>12. Running the seven regression scenarios</w:t>
      </w:r>
    </w:p>
    <w:p>
      <w:r>
        <w:t>For performance and correctness work, bypass Streamlit and exercise the same public application interface directly:</w:t>
      </w:r>
    </w:p>
    <w:p>
      <w:pPr>
        <w:pStyle w:val="CodeBlock"/>
        <w:keepLines/>
        <w:shd w:fill="F5F7FA"/>
      </w:pPr>
      <w:r>
        <w:rPr>
          <w:rFonts w:ascii="Liberation Mono" w:hAnsi="Liberation Mono"/>
          <w:sz w:val="16"/>
        </w:rPr>
        <w:t>python scripts/evaluate_scenarios.py</w:t>
      </w:r>
    </w:p>
    <w:p>
      <w:r>
        <w:t>The runner reads data/evaluation/scenarios.json, converts each entry to ImportRequest, calls evaluate_import(), and writes one JSON result per scenario under data/evaluation/results/.</w:t>
      </w:r>
    </w:p>
    <w:tbl>
      <w:tblPr>
        <w:tblStyle w:val="TableGrid"/>
        <w:tblW w:type="auto" w:w="0"/>
        <w:jc w:val="center"/>
        <w:tblLook w:firstColumn="1" w:firstRow="1" w:lastColumn="0" w:lastRow="0" w:noHBand="0" w:noVBand="1" w:val="04A0"/>
      </w:tblPr>
      <w:tblGrid>
        <w:gridCol w:w="3360"/>
        <w:gridCol w:w="3360"/>
        <w:gridCol w:w="3360"/>
      </w:tblGrid>
      <w:tr>
        <w:trPr>
          <w:tblHeader w:val="true"/>
          <w:cantSplit/>
        </w:trPr>
        <w:tc>
          <w:tcPr>
            <w:tcW w:type="dxa" w:w="504"/>
            <w:shd w:fill="17365D"/>
            <w:tcMar>
              <w:top w:w="70" w:type="dxa"/>
              <w:start w:w="85" w:type="dxa"/>
              <w:bottom w:w="70" w:type="dxa"/>
              <w:end w:w="85" w:type="dxa"/>
            </w:tcMar>
            <w:vAlign w:val="center"/>
          </w:tcPr>
          <w:p>
            <w:pPr>
              <w:spacing w:after="0"/>
            </w:pPr>
            <w:r>
              <w:rPr>
                <w:rFonts w:ascii="Liberation Sans" w:hAnsi="Liberation Sans"/>
                <w:b/>
                <w:color w:val="FFFFFF"/>
                <w:sz w:val="15"/>
              </w:rPr>
              <w:t>#</w:t>
            </w:r>
          </w:p>
        </w:tc>
        <w:tc>
          <w:tcPr>
            <w:tcW w:type="dxa" w:w="3456"/>
            <w:shd w:fill="17365D"/>
            <w:tcMar>
              <w:top w:w="70" w:type="dxa"/>
              <w:start w:w="85" w:type="dxa"/>
              <w:bottom w:w="70" w:type="dxa"/>
              <w:end w:w="85" w:type="dxa"/>
            </w:tcMar>
            <w:vAlign w:val="center"/>
          </w:tcPr>
          <w:p>
            <w:pPr>
              <w:spacing w:after="0"/>
            </w:pPr>
            <w:r>
              <w:rPr>
                <w:rFonts w:ascii="Liberation Sans" w:hAnsi="Liberation Sans"/>
                <w:b/>
                <w:color w:val="FFFFFF"/>
                <w:sz w:val="15"/>
              </w:rPr>
              <w:t>Scenario</w:t>
            </w:r>
          </w:p>
        </w:tc>
        <w:tc>
          <w:tcPr>
            <w:tcW w:type="dxa" w:w="5976"/>
            <w:shd w:fill="17365D"/>
            <w:tcMar>
              <w:top w:w="70" w:type="dxa"/>
              <w:start w:w="85" w:type="dxa"/>
              <w:bottom w:w="70" w:type="dxa"/>
              <w:end w:w="85" w:type="dxa"/>
            </w:tcMar>
            <w:vAlign w:val="center"/>
          </w:tcPr>
          <w:p>
            <w:pPr>
              <w:spacing w:after="0"/>
            </w:pPr>
            <w:r>
              <w:rPr>
                <w:rFonts w:ascii="Liberation Sans" w:hAnsi="Liberation Sans"/>
                <w:b/>
                <w:color w:val="FFFFFF"/>
                <w:sz w:val="15"/>
              </w:rPr>
              <w:t>Current customs/FTA expectation</w:t>
            </w:r>
          </w:p>
        </w:tc>
      </w:tr>
      <w:tr>
        <w:trPr>
          <w:cantSplit/>
        </w:trPr>
        <w:tc>
          <w:tcPr>
            <w:tcW w:type="dxa" w:w="504"/>
            <w:tcMar>
              <w:top w:w="70" w:type="dxa"/>
              <w:start w:w="85" w:type="dxa"/>
              <w:bottom w:w="70" w:type="dxa"/>
              <w:end w:w="85" w:type="dxa"/>
            </w:tcMar>
            <w:vAlign w:val="top"/>
          </w:tcPr>
          <w:p>
            <w:pPr>
              <w:spacing w:after="0"/>
            </w:pPr>
            <w:r>
              <w:rPr>
                <w:rFonts w:ascii="Liberation Sans" w:hAnsi="Liberation Sans"/>
                <w:sz w:val="15"/>
              </w:rPr>
              <w:t>1</w:t>
            </w:r>
          </w:p>
        </w:tc>
        <w:tc>
          <w:tcPr>
            <w:tcW w:type="dxa" w:w="3456"/>
            <w:tcMar>
              <w:top w:w="70" w:type="dxa"/>
              <w:start w:w="85" w:type="dxa"/>
              <w:bottom w:w="70" w:type="dxa"/>
              <w:end w:w="85" w:type="dxa"/>
            </w:tcMar>
            <w:vAlign w:val="top"/>
          </w:tcPr>
          <w:p>
            <w:pPr>
              <w:spacing w:after="0"/>
            </w:pPr>
            <w:r>
              <w:rPr>
                <w:rFonts w:ascii="Liberation Sans" w:hAnsi="Liberation Sans"/>
                <w:sz w:val="15"/>
              </w:rPr>
              <w:t>Laptop - China -&gt; France</w:t>
            </w:r>
          </w:p>
        </w:tc>
        <w:tc>
          <w:tcPr>
            <w:tcW w:type="dxa" w:w="5976"/>
            <w:tcMar>
              <w:top w:w="70" w:type="dxa"/>
              <w:start w:w="85" w:type="dxa"/>
              <w:bottom w:w="70" w:type="dxa"/>
              <w:end w:w="85" w:type="dxa"/>
            </w:tcMar>
            <w:vAlign w:val="top"/>
          </w:tcPr>
          <w:p>
            <w:pPr>
              <w:spacing w:after="0"/>
            </w:pPr>
            <w:r>
              <w:rPr>
                <w:rFonts w:ascii="Liberation Sans" w:hAnsi="Liberation Sans"/>
                <w:sz w:val="15"/>
              </w:rPr>
              <w:t>84713000; 0% standard duty; no supported FTA.</w:t>
            </w:r>
          </w:p>
        </w:tc>
      </w:tr>
      <w:tr>
        <w:trPr>
          <w:cantSplit/>
        </w:trPr>
        <w:tc>
          <w:tcPr>
            <w:tcW w:type="dxa" w:w="504"/>
            <w:tcMar>
              <w:top w:w="70" w:type="dxa"/>
              <w:start w:w="85" w:type="dxa"/>
              <w:bottom w:w="70" w:type="dxa"/>
              <w:end w:w="85" w:type="dxa"/>
            </w:tcMar>
            <w:vAlign w:val="top"/>
          </w:tcPr>
          <w:p>
            <w:pPr>
              <w:spacing w:after="0"/>
            </w:pPr>
            <w:r>
              <w:rPr>
                <w:rFonts w:ascii="Liberation Sans" w:hAnsi="Liberation Sans"/>
                <w:sz w:val="15"/>
              </w:rPr>
              <w:t>2</w:t>
            </w:r>
          </w:p>
        </w:tc>
        <w:tc>
          <w:tcPr>
            <w:tcW w:type="dxa" w:w="3456"/>
            <w:tcMar>
              <w:top w:w="70" w:type="dxa"/>
              <w:start w:w="85" w:type="dxa"/>
              <w:bottom w:w="70" w:type="dxa"/>
              <w:end w:w="85" w:type="dxa"/>
            </w:tcMar>
            <w:vAlign w:val="top"/>
          </w:tcPr>
          <w:p>
            <w:pPr>
              <w:spacing w:after="0"/>
            </w:pPr>
            <w:r>
              <w:rPr>
                <w:rFonts w:ascii="Liberation Sans" w:hAnsi="Liberation Sans"/>
                <w:sz w:val="15"/>
              </w:rPr>
              <w:t>Copper insulated cables - Morocco -&gt; France</w:t>
            </w:r>
          </w:p>
        </w:tc>
        <w:tc>
          <w:tcPr>
            <w:tcW w:type="dxa" w:w="5976"/>
            <w:tcMar>
              <w:top w:w="70" w:type="dxa"/>
              <w:start w:w="85" w:type="dxa"/>
              <w:bottom w:w="70" w:type="dxa"/>
              <w:end w:w="85" w:type="dxa"/>
            </w:tcMar>
            <w:vAlign w:val="top"/>
          </w:tcPr>
          <w:p>
            <w:pPr>
              <w:spacing w:after="0"/>
            </w:pPr>
            <w:r>
              <w:rPr>
                <w:rFonts w:ascii="Liberation Sans" w:hAnsi="Liberation Sans"/>
                <w:sz w:val="15"/>
              </w:rPr>
              <w:t>HS4 8544; exact NC8 uncertain; standard rate withheld; Morocco agreement/origin rule returned; 0% preferential rate only on asserted qualifying origin.</w:t>
            </w:r>
          </w:p>
        </w:tc>
      </w:tr>
      <w:tr>
        <w:trPr>
          <w:cantSplit/>
        </w:trPr>
        <w:tc>
          <w:tcPr>
            <w:tcW w:type="dxa" w:w="504"/>
            <w:tcMar>
              <w:top w:w="70" w:type="dxa"/>
              <w:start w:w="85" w:type="dxa"/>
              <w:bottom w:w="70" w:type="dxa"/>
              <w:end w:w="85" w:type="dxa"/>
            </w:tcMar>
            <w:vAlign w:val="top"/>
          </w:tcPr>
          <w:p>
            <w:pPr>
              <w:spacing w:after="0"/>
            </w:pPr>
            <w:r>
              <w:rPr>
                <w:rFonts w:ascii="Liberation Sans" w:hAnsi="Liberation Sans"/>
                <w:sz w:val="15"/>
              </w:rPr>
              <w:t>3</w:t>
            </w:r>
          </w:p>
        </w:tc>
        <w:tc>
          <w:tcPr>
            <w:tcW w:type="dxa" w:w="3456"/>
            <w:tcMar>
              <w:top w:w="70" w:type="dxa"/>
              <w:start w:w="85" w:type="dxa"/>
              <w:bottom w:w="70" w:type="dxa"/>
              <w:end w:w="85" w:type="dxa"/>
            </w:tcMar>
            <w:vAlign w:val="top"/>
          </w:tcPr>
          <w:p>
            <w:pPr>
              <w:spacing w:after="0"/>
            </w:pPr>
            <w:r>
              <w:rPr>
                <w:rFonts w:ascii="Liberation Sans" w:hAnsi="Liberation Sans"/>
                <w:sz w:val="15"/>
              </w:rPr>
              <w:t>27-inch LCD monitor - Korea -&gt; France</w:t>
            </w:r>
          </w:p>
        </w:tc>
        <w:tc>
          <w:tcPr>
            <w:tcW w:type="dxa" w:w="5976"/>
            <w:tcMar>
              <w:top w:w="70" w:type="dxa"/>
              <w:start w:w="85" w:type="dxa"/>
              <w:bottom w:w="70" w:type="dxa"/>
              <w:end w:w="85" w:type="dxa"/>
            </w:tcMar>
            <w:vAlign w:val="top"/>
          </w:tcPr>
          <w:p>
            <w:pPr>
              <w:spacing w:after="0"/>
            </w:pPr>
            <w:r>
              <w:rPr>
                <w:rFonts w:ascii="Liberation Sans" w:hAnsi="Liberation Sans"/>
                <w:sz w:val="15"/>
              </w:rPr>
              <w:t>8528 family; exact branch/use distinction remains important; Korea origin rule and historical schedule reconciliation can remain uncertain.</w:t>
            </w:r>
          </w:p>
        </w:tc>
      </w:tr>
      <w:tr>
        <w:trPr>
          <w:cantSplit/>
        </w:trPr>
        <w:tc>
          <w:tcPr>
            <w:tcW w:type="dxa" w:w="504"/>
            <w:tcMar>
              <w:top w:w="70" w:type="dxa"/>
              <w:start w:w="85" w:type="dxa"/>
              <w:bottom w:w="70" w:type="dxa"/>
              <w:end w:w="85" w:type="dxa"/>
            </w:tcMar>
            <w:vAlign w:val="top"/>
          </w:tcPr>
          <w:p>
            <w:pPr>
              <w:spacing w:after="0"/>
            </w:pPr>
            <w:r>
              <w:rPr>
                <w:rFonts w:ascii="Liberation Sans" w:hAnsi="Liberation Sans"/>
                <w:sz w:val="15"/>
              </w:rPr>
              <w:t>4</w:t>
            </w:r>
          </w:p>
        </w:tc>
        <w:tc>
          <w:tcPr>
            <w:tcW w:type="dxa" w:w="3456"/>
            <w:tcMar>
              <w:top w:w="70" w:type="dxa"/>
              <w:start w:w="85" w:type="dxa"/>
              <w:bottom w:w="70" w:type="dxa"/>
              <w:end w:w="85" w:type="dxa"/>
            </w:tcMar>
            <w:vAlign w:val="top"/>
          </w:tcPr>
          <w:p>
            <w:pPr>
              <w:spacing w:after="0"/>
            </w:pPr>
            <w:r>
              <w:rPr>
                <w:rFonts w:ascii="Liberation Sans" w:hAnsi="Liberation Sans"/>
                <w:sz w:val="15"/>
              </w:rPr>
              <w:t>Pulse oximeter - China -&gt; France</w:t>
            </w:r>
          </w:p>
        </w:tc>
        <w:tc>
          <w:tcPr>
            <w:tcW w:type="dxa" w:w="5976"/>
            <w:tcMar>
              <w:top w:w="70" w:type="dxa"/>
              <w:start w:w="85" w:type="dxa"/>
              <w:bottom w:w="70" w:type="dxa"/>
              <w:end w:w="85" w:type="dxa"/>
            </w:tcMar>
            <w:vAlign w:val="top"/>
          </w:tcPr>
          <w:p>
            <w:pPr>
              <w:spacing w:after="0"/>
            </w:pPr>
            <w:r>
              <w:rPr>
                <w:rFonts w:ascii="Liberation Sans" w:hAnsi="Liberation Sans"/>
                <w:sz w:val="15"/>
              </w:rPr>
              <w:t>90181910; 0% standard duty; no supported FTA; medical regulatory layer intentionally out of current runtime scope.</w:t>
            </w:r>
          </w:p>
        </w:tc>
      </w:tr>
      <w:tr>
        <w:trPr>
          <w:cantSplit/>
        </w:trPr>
        <w:tc>
          <w:tcPr>
            <w:tcW w:type="dxa" w:w="504"/>
            <w:tcMar>
              <w:top w:w="70" w:type="dxa"/>
              <w:start w:w="85" w:type="dxa"/>
              <w:bottom w:w="70" w:type="dxa"/>
              <w:end w:w="85" w:type="dxa"/>
            </w:tcMar>
            <w:vAlign w:val="top"/>
          </w:tcPr>
          <w:p>
            <w:pPr>
              <w:spacing w:after="0"/>
            </w:pPr>
            <w:r>
              <w:rPr>
                <w:rFonts w:ascii="Liberation Sans" w:hAnsi="Liberation Sans"/>
                <w:sz w:val="15"/>
              </w:rPr>
              <w:t>5</w:t>
            </w:r>
          </w:p>
        </w:tc>
        <w:tc>
          <w:tcPr>
            <w:tcW w:type="dxa" w:w="3456"/>
            <w:tcMar>
              <w:top w:w="70" w:type="dxa"/>
              <w:start w:w="85" w:type="dxa"/>
              <w:bottom w:w="70" w:type="dxa"/>
              <w:end w:w="85" w:type="dxa"/>
            </w:tcMar>
            <w:vAlign w:val="top"/>
          </w:tcPr>
          <w:p>
            <w:pPr>
              <w:spacing w:after="0"/>
            </w:pPr>
            <w:r>
              <w:rPr>
                <w:rFonts w:ascii="Liberation Sans" w:hAnsi="Liberation Sans"/>
                <w:sz w:val="15"/>
              </w:rPr>
              <w:t>Titanium hip prosthesis - India -&gt; France</w:t>
            </w:r>
          </w:p>
        </w:tc>
        <w:tc>
          <w:tcPr>
            <w:tcW w:type="dxa" w:w="5976"/>
            <w:tcMar>
              <w:top w:w="70" w:type="dxa"/>
              <w:start w:w="85" w:type="dxa"/>
              <w:bottom w:w="70" w:type="dxa"/>
              <w:end w:w="85" w:type="dxa"/>
            </w:tcMar>
            <w:vAlign w:val="top"/>
          </w:tcPr>
          <w:p>
            <w:pPr>
              <w:spacing w:after="0"/>
            </w:pPr>
            <w:r>
              <w:rPr>
                <w:rFonts w:ascii="Liberation Sans" w:hAnsi="Liberation Sans"/>
                <w:sz w:val="15"/>
              </w:rPr>
              <w:t>90213100; 0% standard duty; no supported FTA.</w:t>
            </w:r>
          </w:p>
        </w:tc>
      </w:tr>
      <w:tr>
        <w:trPr>
          <w:cantSplit/>
        </w:trPr>
        <w:tc>
          <w:tcPr>
            <w:tcW w:type="dxa" w:w="504"/>
            <w:tcMar>
              <w:top w:w="70" w:type="dxa"/>
              <w:start w:w="85" w:type="dxa"/>
              <w:bottom w:w="70" w:type="dxa"/>
              <w:end w:w="85" w:type="dxa"/>
            </w:tcMar>
            <w:vAlign w:val="top"/>
          </w:tcPr>
          <w:p>
            <w:pPr>
              <w:spacing w:after="0"/>
            </w:pPr>
            <w:r>
              <w:rPr>
                <w:rFonts w:ascii="Liberation Sans" w:hAnsi="Liberation Sans"/>
                <w:sz w:val="15"/>
              </w:rPr>
              <w:t>6</w:t>
            </w:r>
          </w:p>
        </w:tc>
        <w:tc>
          <w:tcPr>
            <w:tcW w:type="dxa" w:w="3456"/>
            <w:tcMar>
              <w:top w:w="70" w:type="dxa"/>
              <w:start w:w="85" w:type="dxa"/>
              <w:bottom w:w="70" w:type="dxa"/>
              <w:end w:w="85" w:type="dxa"/>
            </w:tcMar>
            <w:vAlign w:val="top"/>
          </w:tcPr>
          <w:p>
            <w:pPr>
              <w:spacing w:after="0"/>
            </w:pPr>
            <w:r>
              <w:rPr>
                <w:rFonts w:ascii="Liberation Sans" w:hAnsi="Liberation Sans"/>
                <w:sz w:val="15"/>
              </w:rPr>
              <w:t>Extra virgin olive oil - Tunisia -&gt; France</w:t>
            </w:r>
          </w:p>
        </w:tc>
        <w:tc>
          <w:tcPr>
            <w:tcW w:type="dxa" w:w="5976"/>
            <w:tcMar>
              <w:top w:w="70" w:type="dxa"/>
              <w:start w:w="85" w:type="dxa"/>
              <w:bottom w:w="70" w:type="dxa"/>
              <w:end w:w="85" w:type="dxa"/>
            </w:tcMar>
            <w:vAlign w:val="top"/>
          </w:tcPr>
          <w:p>
            <w:pPr>
              <w:spacing w:after="0"/>
            </w:pPr>
            <w:r>
              <w:rPr>
                <w:rFonts w:ascii="Liberation Sans" w:hAnsi="Liberation Sans"/>
                <w:sz w:val="15"/>
              </w:rPr>
              <w:t>15092000; specific tariff 124.5 EUR/100 kg net; weight required; no supported FTA in prototype.</w:t>
            </w:r>
          </w:p>
        </w:tc>
      </w:tr>
      <w:tr>
        <w:trPr>
          <w:cantSplit/>
        </w:trPr>
        <w:tc>
          <w:tcPr>
            <w:tcW w:type="dxa" w:w="504"/>
            <w:tcMar>
              <w:top w:w="70" w:type="dxa"/>
              <w:start w:w="85" w:type="dxa"/>
              <w:bottom w:w="70" w:type="dxa"/>
              <w:end w:w="85" w:type="dxa"/>
            </w:tcMar>
            <w:vAlign w:val="top"/>
          </w:tcPr>
          <w:p>
            <w:pPr>
              <w:spacing w:after="0"/>
            </w:pPr>
            <w:r>
              <w:rPr>
                <w:rFonts w:ascii="Liberation Sans" w:hAnsi="Liberation Sans"/>
                <w:sz w:val="15"/>
              </w:rPr>
              <w:t>7</w:t>
            </w:r>
          </w:p>
        </w:tc>
        <w:tc>
          <w:tcPr>
            <w:tcW w:type="dxa" w:w="3456"/>
            <w:tcMar>
              <w:top w:w="70" w:type="dxa"/>
              <w:start w:w="85" w:type="dxa"/>
              <w:bottom w:w="70" w:type="dxa"/>
              <w:end w:w="85" w:type="dxa"/>
            </w:tcMar>
            <w:vAlign w:val="top"/>
          </w:tcPr>
          <w:p>
            <w:pPr>
              <w:spacing w:after="0"/>
            </w:pPr>
            <w:r>
              <w:rPr>
                <w:rFonts w:ascii="Liberation Sans" w:hAnsi="Liberation Sans"/>
                <w:sz w:val="15"/>
              </w:rPr>
              <w:t>Rechargeable EV lithium-ion battery - China -&gt; France</w:t>
            </w:r>
          </w:p>
        </w:tc>
        <w:tc>
          <w:tcPr>
            <w:tcW w:type="dxa" w:w="5976"/>
            <w:tcMar>
              <w:top w:w="70" w:type="dxa"/>
              <w:start w:w="85" w:type="dxa"/>
              <w:bottom w:w="70" w:type="dxa"/>
              <w:end w:w="85" w:type="dxa"/>
            </w:tcMar>
            <w:vAlign w:val="top"/>
          </w:tcPr>
          <w:p>
            <w:pPr>
              <w:spacing w:after="0"/>
            </w:pPr>
            <w:r>
              <w:rPr>
                <w:rFonts w:ascii="Liberation Sans" w:hAnsi="Liberation Sans"/>
                <w:sz w:val="15"/>
              </w:rPr>
              <w:t>85076000; 2.7%; EUR 216 on EUR 8,000; no supported FTA.</w:t>
            </w:r>
          </w:p>
        </w:tc>
      </w:tr>
    </w:tbl>
    <w:p>
      <w:pPr>
        <w:pStyle w:val="SmallNote"/>
      </w:pPr>
    </w:p>
    <w:p>
      <w:pPr>
        <w:pStyle w:val="Heading1"/>
        <w:keepNext/>
      </w:pPr>
      <w:r>
        <w:t>13. Rebuild, inspection, and troubleshooting</w:t>
      </w:r>
    </w:p>
    <w:p>
      <w:pPr>
        <w:pStyle w:val="Heading2"/>
        <w:keepNext/>
      </w:pPr>
      <w:r>
        <w:t>Clean local rebuild with Docker</w:t>
      </w:r>
    </w:p>
    <w:p>
      <w:pPr>
        <w:pStyle w:val="CodeBlock"/>
        <w:keepLines/>
        <w:shd w:fill="F5F7FA"/>
      </w:pPr>
      <w:r>
        <w:rPr>
          <w:rFonts w:ascii="Liberation Mono" w:hAnsi="Liberation Mono"/>
          <w:sz w:val="16"/>
        </w:rPr>
        <w:t>docker compose down -v</w:t>
        <w:br/>
        <w:t>docker compose up -d db</w:t>
        <w:br/>
        <w:br/>
        <w:t>docker compose --profile ingestion run --rm ingestion \</w:t>
        <w:br/>
        <w:t xml:space="preserve">  python -m regulatory_engine.ingestion.nc.run</w:t>
        <w:br/>
        <w:br/>
        <w:t>docker compose --profile ingestion run --rm ingestion \</w:t>
        <w:br/>
        <w:t xml:space="preserve">  python -m regulatory_engine.ingestion.fta.run</w:t>
        <w:br/>
        <w:br/>
        <w:t>docker compose up -d web</w:t>
      </w:r>
    </w:p>
    <w:p>
      <w:pPr>
        <w:pStyle w:val="Heading2"/>
        <w:keepNext/>
      </w:pPr>
      <w:r>
        <w:t>Useful checks</w:t>
      </w:r>
    </w:p>
    <w:p>
      <w:pPr>
        <w:pStyle w:val="CodeBlock"/>
        <w:keepLines/>
        <w:shd w:fill="F5F7FA"/>
      </w:pPr>
      <w:r>
        <w:rPr>
          <w:rFonts w:ascii="Liberation Mono" w:hAnsi="Liberation Mono"/>
          <w:sz w:val="16"/>
        </w:rPr>
        <w:t># Service health</w:t>
        <w:br/>
        <w:t>docker compose ps</w:t>
        <w:br/>
        <w:br/>
        <w:t># Web logs</w:t>
        <w:br/>
        <w:t>docker compose logs -f web</w:t>
        <w:br/>
        <w:br/>
        <w:t># Direct DB connection from host</w:t>
        <w:br/>
        <w:t>psql "postgresql://regulatory_app:local_dev_password@localhost:5433/regulatory"</w:t>
        <w:br/>
        <w:br/>
        <w:t># Verify core tables</w:t>
        <w:br/>
        <w:t>SELECT 'tariff_items', COUNT(*) FROM tariff_items</w:t>
        <w:br/>
        <w:t>UNION ALL SELECT 'fta_chunks', COUNT(*) FROM fta_chunks</w:t>
        <w:br/>
        <w:t>UNION ALL SELECT 'fta_origin_rules', COUNT(*) FROM fta_origin_rules</w:t>
        <w:br/>
        <w:t>UNION ALL SELECT 'fta_tariff_lines', COUNT(*) FROM fta_tariff_lines;</w:t>
      </w:r>
    </w:p>
    <w:tbl>
      <w:tblPr>
        <w:tblStyle w:val="TableGrid"/>
        <w:tblW w:type="auto" w:w="0"/>
        <w:jc w:val="center"/>
        <w:tblLook w:firstColumn="1" w:firstRow="1" w:lastColumn="0" w:lastRow="0" w:noHBand="0" w:noVBand="1" w:val="04A0"/>
      </w:tblPr>
      <w:tblGrid>
        <w:gridCol w:w="5040"/>
        <w:gridCol w:w="5040"/>
      </w:tblGrid>
      <w:tr>
        <w:trPr>
          <w:tblHeader w:val="true"/>
          <w:cantSplit/>
        </w:trPr>
        <w:tc>
          <w:tcPr>
            <w:tcW w:type="dxa" w:w="3816"/>
            <w:shd w:fill="17365D"/>
            <w:tcMar>
              <w:top w:w="70" w:type="dxa"/>
              <w:start w:w="85" w:type="dxa"/>
              <w:bottom w:w="70" w:type="dxa"/>
              <w:end w:w="85" w:type="dxa"/>
            </w:tcMar>
            <w:vAlign w:val="center"/>
          </w:tcPr>
          <w:p>
            <w:pPr>
              <w:spacing w:after="0"/>
            </w:pPr>
            <w:r>
              <w:rPr>
                <w:rFonts w:ascii="Liberation Sans" w:hAnsi="Liberation Sans"/>
                <w:b/>
                <w:color w:val="FFFFFF"/>
                <w:sz w:val="15"/>
              </w:rPr>
              <w:t>Symptom</w:t>
            </w:r>
          </w:p>
        </w:tc>
        <w:tc>
          <w:tcPr>
            <w:tcW w:type="dxa" w:w="6120"/>
            <w:shd w:fill="17365D"/>
            <w:tcMar>
              <w:top w:w="70" w:type="dxa"/>
              <w:start w:w="85" w:type="dxa"/>
              <w:bottom w:w="70" w:type="dxa"/>
              <w:end w:w="85" w:type="dxa"/>
            </w:tcMar>
            <w:vAlign w:val="center"/>
          </w:tcPr>
          <w:p>
            <w:pPr>
              <w:spacing w:after="0"/>
            </w:pPr>
            <w:r>
              <w:rPr>
                <w:rFonts w:ascii="Liberation Sans" w:hAnsi="Liberation Sans"/>
                <w:b/>
                <w:color w:val="FFFFFF"/>
                <w:sz w:val="15"/>
              </w:rPr>
              <w:t>Likely cause / action</w:t>
            </w:r>
          </w:p>
        </w:tc>
      </w:tr>
      <w:tr>
        <w:trPr>
          <w:cantSplit/>
        </w:trPr>
        <w:tc>
          <w:tcPr>
            <w:tcW w:type="dxa" w:w="3816"/>
            <w:tcMar>
              <w:top w:w="70" w:type="dxa"/>
              <w:start w:w="85" w:type="dxa"/>
              <w:bottom w:w="70" w:type="dxa"/>
              <w:end w:w="85" w:type="dxa"/>
            </w:tcMar>
            <w:vAlign w:val="top"/>
          </w:tcPr>
          <w:p>
            <w:pPr>
              <w:spacing w:after="0"/>
            </w:pPr>
            <w:r>
              <w:rPr>
                <w:rFonts w:ascii="Liberation Sans" w:hAnsi="Liberation Sans"/>
                <w:sz w:val="15"/>
              </w:rPr>
              <w:t>psql tries /var/run/postgresql and role &lt;linux-user&gt; does not exist</w:t>
            </w:r>
          </w:p>
        </w:tc>
        <w:tc>
          <w:tcPr>
            <w:tcW w:type="dxa" w:w="6120"/>
            <w:tcMar>
              <w:top w:w="70" w:type="dxa"/>
              <w:start w:w="85" w:type="dxa"/>
              <w:bottom w:w="70" w:type="dxa"/>
              <w:end w:w="85" w:type="dxa"/>
            </w:tcMar>
            <w:vAlign w:val="top"/>
          </w:tcPr>
          <w:p>
            <w:pPr>
              <w:spacing w:after="0"/>
            </w:pPr>
            <w:r>
              <w:rPr>
                <w:rFonts w:ascii="Liberation Sans" w:hAnsi="Liberation Sans"/>
                <w:sz w:val="15"/>
              </w:rPr>
              <w:t>DATABASE_URL is empty in the shell. Use the explicit localhost:5433 URL or export DATABASE_URL.</w:t>
            </w:r>
          </w:p>
        </w:tc>
      </w:tr>
      <w:tr>
        <w:trPr>
          <w:cantSplit/>
        </w:trPr>
        <w:tc>
          <w:tcPr>
            <w:tcW w:type="dxa" w:w="3816"/>
            <w:tcMar>
              <w:top w:w="70" w:type="dxa"/>
              <w:start w:w="85" w:type="dxa"/>
              <w:bottom w:w="70" w:type="dxa"/>
              <w:end w:w="85" w:type="dxa"/>
            </w:tcMar>
            <w:vAlign w:val="top"/>
          </w:tcPr>
          <w:p>
            <w:pPr>
              <w:spacing w:after="0"/>
            </w:pPr>
            <w:r>
              <w:rPr>
                <w:rFonts w:ascii="Liberation Sans" w:hAnsi="Liberation Sans"/>
                <w:sz w:val="15"/>
              </w:rPr>
              <w:t>Correct tariff line exists in raw page but not in tariff_items</w:t>
            </w:r>
          </w:p>
        </w:tc>
        <w:tc>
          <w:tcPr>
            <w:tcW w:type="dxa" w:w="6120"/>
            <w:tcMar>
              <w:top w:w="70" w:type="dxa"/>
              <w:start w:w="85" w:type="dxa"/>
              <w:bottom w:w="70" w:type="dxa"/>
              <w:end w:w="85" w:type="dxa"/>
            </w:tcMar>
            <w:vAlign w:val="top"/>
          </w:tcPr>
          <w:p>
            <w:pPr>
              <w:spacing w:after="0"/>
            </w:pPr>
            <w:r>
              <w:rPr>
                <w:rFonts w:ascii="Liberation Sans" w:hAnsi="Liberation Sans"/>
                <w:sz w:val="15"/>
              </w:rPr>
              <w:t>Trace raw -&gt; cleaned -&gt; loaded. For NC, check whether required hierarchy starts on a preceding page.</w:t>
            </w:r>
          </w:p>
        </w:tc>
      </w:tr>
      <w:tr>
        <w:trPr>
          <w:cantSplit/>
        </w:trPr>
        <w:tc>
          <w:tcPr>
            <w:tcW w:type="dxa" w:w="3816"/>
            <w:tcMar>
              <w:top w:w="70" w:type="dxa"/>
              <w:start w:w="85" w:type="dxa"/>
              <w:bottom w:w="70" w:type="dxa"/>
              <w:end w:w="85" w:type="dxa"/>
            </w:tcMar>
            <w:vAlign w:val="top"/>
          </w:tcPr>
          <w:p>
            <w:pPr>
              <w:spacing w:after="0"/>
            </w:pPr>
            <w:r>
              <w:rPr>
                <w:rFonts w:ascii="Liberation Sans" w:hAnsi="Liberation Sans"/>
                <w:sz w:val="15"/>
              </w:rPr>
              <w:t>Deleted local artifact reappears</w:t>
            </w:r>
          </w:p>
        </w:tc>
        <w:tc>
          <w:tcPr>
            <w:tcW w:type="dxa" w:w="6120"/>
            <w:tcMar>
              <w:top w:w="70" w:type="dxa"/>
              <w:start w:w="85" w:type="dxa"/>
              <w:bottom w:w="70" w:type="dxa"/>
              <w:end w:w="85" w:type="dxa"/>
            </w:tcMar>
            <w:vAlign w:val="top"/>
          </w:tcPr>
          <w:p>
            <w:pPr>
              <w:spacing w:after="0"/>
            </w:pPr>
            <w:r>
              <w:rPr>
                <w:rFonts w:ascii="Liberation Sans" w:hAnsi="Liberation Sans"/>
                <w:sz w:val="15"/>
              </w:rPr>
              <w:t>S3 cache restoration is active. Remove/bypass the S3 object as well if a true regeneration is required.</w:t>
            </w:r>
          </w:p>
        </w:tc>
      </w:tr>
      <w:tr>
        <w:trPr>
          <w:cantSplit/>
        </w:trPr>
        <w:tc>
          <w:tcPr>
            <w:tcW w:type="dxa" w:w="3816"/>
            <w:tcMar>
              <w:top w:w="70" w:type="dxa"/>
              <w:start w:w="85" w:type="dxa"/>
              <w:bottom w:w="70" w:type="dxa"/>
              <w:end w:w="85" w:type="dxa"/>
            </w:tcMar>
            <w:vAlign w:val="top"/>
          </w:tcPr>
          <w:p>
            <w:pPr>
              <w:spacing w:after="0"/>
            </w:pPr>
            <w:r>
              <w:rPr>
                <w:rFonts w:ascii="Liberation Sans" w:hAnsi="Liberation Sans"/>
                <w:sz w:val="15"/>
              </w:rPr>
              <w:t>Correct candidate not selected</w:t>
            </w:r>
          </w:p>
        </w:tc>
        <w:tc>
          <w:tcPr>
            <w:tcW w:type="dxa" w:w="6120"/>
            <w:tcMar>
              <w:top w:w="70" w:type="dxa"/>
              <w:start w:w="85" w:type="dxa"/>
              <w:bottom w:w="70" w:type="dxa"/>
              <w:end w:w="85" w:type="dxa"/>
            </w:tcMar>
            <w:vAlign w:val="top"/>
          </w:tcPr>
          <w:p>
            <w:pPr>
              <w:spacing w:after="0"/>
            </w:pPr>
            <w:r>
              <w:rPr>
                <w:rFonts w:ascii="Liberation Sans" w:hAnsi="Liberation Sans"/>
                <w:sz w:val="15"/>
              </w:rPr>
              <w:t>First verify the correct candidate is in top-K. If absent, investigate data coverage/embedding retrieval before prompt tuning.</w:t>
            </w:r>
          </w:p>
        </w:tc>
      </w:tr>
      <w:tr>
        <w:trPr>
          <w:cantSplit/>
        </w:trPr>
        <w:tc>
          <w:tcPr>
            <w:tcW w:type="dxa" w:w="3816"/>
            <w:tcMar>
              <w:top w:w="70" w:type="dxa"/>
              <w:start w:w="85" w:type="dxa"/>
              <w:bottom w:w="70" w:type="dxa"/>
              <w:end w:w="85" w:type="dxa"/>
            </w:tcMar>
            <w:vAlign w:val="top"/>
          </w:tcPr>
          <w:p>
            <w:pPr>
              <w:spacing w:after="0"/>
            </w:pPr>
            <w:r>
              <w:rPr>
                <w:rFonts w:ascii="Liberation Sans" w:hAnsi="Liberation Sans"/>
                <w:sz w:val="15"/>
              </w:rPr>
              <w:t>All top-K rates are the same but exact classification is uncertain</w:t>
            </w:r>
          </w:p>
        </w:tc>
        <w:tc>
          <w:tcPr>
            <w:tcW w:type="dxa" w:w="6120"/>
            <w:tcMar>
              <w:top w:w="70" w:type="dxa"/>
              <w:start w:w="85" w:type="dxa"/>
              <w:bottom w:w="70" w:type="dxa"/>
              <w:end w:w="85" w:type="dxa"/>
            </w:tcMar>
            <w:vAlign w:val="top"/>
          </w:tcPr>
          <w:p>
            <w:pPr>
              <w:spacing w:after="0"/>
            </w:pPr>
            <w:r>
              <w:rPr>
                <w:rFonts w:ascii="Liberation Sans" w:hAnsi="Liberation Sans"/>
                <w:sz w:val="15"/>
              </w:rPr>
              <w:t>Do not infer a standard rate from top-K. Inspect the complete HS family and request missing product information.</w:t>
            </w:r>
          </w:p>
        </w:tc>
      </w:tr>
      <w:tr>
        <w:trPr>
          <w:cantSplit/>
        </w:trPr>
        <w:tc>
          <w:tcPr>
            <w:tcW w:type="dxa" w:w="3816"/>
            <w:tcMar>
              <w:top w:w="70" w:type="dxa"/>
              <w:start w:w="85" w:type="dxa"/>
              <w:bottom w:w="70" w:type="dxa"/>
              <w:end w:w="85" w:type="dxa"/>
            </w:tcMar>
            <w:vAlign w:val="top"/>
          </w:tcPr>
          <w:p>
            <w:pPr>
              <w:spacing w:after="0"/>
            </w:pPr>
            <w:r>
              <w:rPr>
                <w:rFonts w:ascii="Liberation Sans" w:hAnsi="Liberation Sans"/>
                <w:sz w:val="15"/>
              </w:rPr>
              <w:t>Specific tariff has duty_rate = null</w:t>
            </w:r>
          </w:p>
        </w:tc>
        <w:tc>
          <w:tcPr>
            <w:tcW w:type="dxa" w:w="6120"/>
            <w:tcMar>
              <w:top w:w="70" w:type="dxa"/>
              <w:start w:w="85" w:type="dxa"/>
              <w:bottom w:w="70" w:type="dxa"/>
              <w:end w:w="85" w:type="dxa"/>
            </w:tcMar>
            <w:vAlign w:val="top"/>
          </w:tcPr>
          <w:p>
            <w:pPr>
              <w:spacing w:after="0"/>
            </w:pPr>
            <w:r>
              <w:rPr>
                <w:rFonts w:ascii="Liberation Sans" w:hAnsi="Liberation Sans"/>
                <w:sz w:val="15"/>
              </w:rPr>
              <w:t>Expected for non-percentage tariffs; use duty_text and request the required quantity/weight.</w:t>
            </w:r>
          </w:p>
        </w:tc>
      </w:tr>
      <w:tr>
        <w:trPr>
          <w:cantSplit/>
        </w:trPr>
        <w:tc>
          <w:tcPr>
            <w:tcW w:type="dxa" w:w="3816"/>
            <w:tcMar>
              <w:top w:w="70" w:type="dxa"/>
              <w:start w:w="85" w:type="dxa"/>
              <w:bottom w:w="70" w:type="dxa"/>
              <w:end w:w="85" w:type="dxa"/>
            </w:tcMar>
            <w:vAlign w:val="top"/>
          </w:tcPr>
          <w:p>
            <w:pPr>
              <w:spacing w:after="0"/>
            </w:pPr>
            <w:r>
              <w:rPr>
                <w:rFonts w:ascii="Liberation Sans" w:hAnsi="Liberation Sans"/>
                <w:sz w:val="15"/>
              </w:rPr>
              <w:t>FTA origin shown as NOT_VERIFIED</w:t>
            </w:r>
          </w:p>
        </w:tc>
        <w:tc>
          <w:tcPr>
            <w:tcW w:type="dxa" w:w="6120"/>
            <w:tcMar>
              <w:top w:w="70" w:type="dxa"/>
              <w:start w:w="85" w:type="dxa"/>
              <w:bottom w:w="70" w:type="dxa"/>
              <w:end w:w="85" w:type="dxa"/>
            </w:tcMar>
            <w:vAlign w:val="top"/>
          </w:tcPr>
          <w:p>
            <w:pPr>
              <w:spacing w:after="0"/>
            </w:pPr>
            <w:r>
              <w:rPr>
                <w:rFonts w:ascii="Liberation Sans" w:hAnsi="Liberation Sans"/>
                <w:sz w:val="15"/>
              </w:rPr>
              <w:t>Expected unless manufacturing/material value evidence is supplied. Export country alone is not proof of preferential origin.</w:t>
            </w:r>
          </w:p>
        </w:tc>
      </w:tr>
    </w:tbl>
    <w:p>
      <w:pPr>
        <w:pStyle w:val="SmallNote"/>
      </w:pPr>
    </w:p>
    <w:p>
      <w:pPr>
        <w:pStyle w:val="Heading1"/>
        <w:keepNext/>
      </w:pPr>
      <w:r>
        <w:t>14. Current design safeguards and known limitations</w:t>
      </w:r>
    </w:p>
    <w:p>
      <w:pPr>
        <w:pStyle w:val="Heading2"/>
        <w:keepNext/>
      </w:pPr>
      <w:r>
        <w:t>Safeguards</w:t>
      </w:r>
    </w:p>
    <w:p>
      <w:pPr>
        <w:pStyle w:val="ListBullet"/>
        <w:spacing w:after="40"/>
      </w:pPr>
      <w:r>
        <w:t>The LLM may only choose among retrieved NC/FTA candidates; it does not invent tariff codes.</w:t>
      </w:r>
    </w:p>
    <w:p>
      <w:pPr>
        <w:pStyle w:val="ListBullet"/>
        <w:spacing w:after="40"/>
      </w:pPr>
      <w:r>
        <w:t>The classifier receives hierarchy and residual metadata, not only flat descriptions.</w:t>
      </w:r>
    </w:p>
    <w:p>
      <w:pPr>
        <w:pStyle w:val="ListBullet"/>
        <w:spacing w:after="40"/>
      </w:pPr>
      <w:r>
        <w:t>Semantic similarity is excluded as direct classification evidence.</w:t>
      </w:r>
    </w:p>
    <w:p>
      <w:pPr>
        <w:pStyle w:val="ListBullet"/>
        <w:spacing w:after="40"/>
      </w:pPr>
      <w:r>
        <w:t>Exact NC uncertainty blocks unsupported standard-duty calculations.</w:t>
      </w:r>
    </w:p>
    <w:p>
      <w:pPr>
        <w:pStyle w:val="ListBullet"/>
        <w:spacing w:after="40"/>
      </w:pPr>
      <w:r>
        <w:t>Complex/specific tariffs are not converted into an ad-valorem percentage.</w:t>
      </w:r>
    </w:p>
    <w:p>
      <w:pPr>
        <w:pStyle w:val="ListBullet"/>
        <w:spacing w:after="40"/>
      </w:pPr>
      <w:r>
        <w:t>FTA origin remains explicitly unverified when the scenario lacks production evidence.</w:t>
      </w:r>
    </w:p>
    <w:p>
      <w:pPr>
        <w:pStyle w:val="ListBullet"/>
        <w:spacing w:after="40"/>
      </w:pPr>
      <w:r>
        <w:t>Historical FTA reconciliation does not change the established current NC classification.</w:t>
      </w:r>
    </w:p>
    <w:p>
      <w:pPr>
        <w:pStyle w:val="ListBullet"/>
        <w:spacing w:after="40"/>
      </w:pPr>
      <w:r>
        <w:t>FTA tariff categories are not interpreted unless the application has direct evidence for the actual preferential rate.</w:t>
      </w:r>
    </w:p>
    <w:p>
      <w:pPr>
        <w:pStyle w:val="Heading2"/>
        <w:keepNext/>
      </w:pPr>
      <w:r>
        <w:t>Known limitations</w:t>
      </w:r>
    </w:p>
    <w:p>
      <w:pPr>
        <w:pStyle w:val="ListBullet"/>
        <w:spacing w:after="40"/>
      </w:pPr>
      <w:r>
        <w:t>Only selected pages/subsets of the regulatory corpus are ingested for the prototype scenarios.</w:t>
      </w:r>
    </w:p>
    <w:p>
      <w:pPr>
        <w:pStyle w:val="ListBullet"/>
        <w:spacing w:after="40"/>
      </w:pPr>
      <w:r>
        <w:t>Candidate retrieval uses a fixed top-K limit (currently five); a correct row must be present in that bounded set before the classifier can select it.</w:t>
      </w:r>
    </w:p>
    <w:p>
      <w:pPr>
        <w:pStyle w:val="ListBullet"/>
        <w:spacing w:after="40"/>
      </w:pPr>
      <w:r>
        <w:t>The classifier can still produce suboptimal missing-information wording depending on which candidates were retrieved.</w:t>
      </w:r>
    </w:p>
    <w:p>
      <w:pPr>
        <w:pStyle w:val="ListBullet"/>
        <w:spacing w:after="40"/>
      </w:pPr>
      <w:r>
        <w:t>Scenario 3 remains a useful edge case because monitor intended use affects both current NC and historical Korea mapping.</w:t>
      </w:r>
    </w:p>
    <w:p>
      <w:pPr>
        <w:pStyle w:val="ListBullet"/>
        <w:spacing w:after="40"/>
      </w:pPr>
      <w:r>
        <w:t>The medical-device/MDR layer is not implemented in the current runtime scope.</w:t>
      </w:r>
    </w:p>
    <w:p>
      <w:pPr>
        <w:pStyle w:val="ListBullet"/>
        <w:spacing w:after="40"/>
      </w:pPr>
      <w:r>
        <w:t>The Streamlit UI is a presentation layer; it does not currently collect follow-up technical attributes interactively after UNCERTAIN_CLASSIFICATION.</w:t>
      </w:r>
    </w:p>
    <w:p>
      <w:pPr>
        <w:pStyle w:val="ListBullet"/>
        <w:spacing w:after="40"/>
      </w:pPr>
      <w:r>
        <w:t>The provided Python project dependency list should be kept synchronized with ingestion imports (for example pandas is used by the NC cleaner).</w:t>
      </w:r>
    </w:p>
    <w:p>
      <w:pPr>
        <w:pStyle w:val="Heading1"/>
        <w:keepNext/>
      </w:pPr>
      <w:r>
        <w:t>15. Developer checklist</w:t>
      </w:r>
    </w:p>
    <w:tbl>
      <w:tblPr>
        <w:tblStyle w:val="TableGrid"/>
        <w:tblW w:type="auto" w:w="0"/>
        <w:jc w:val="center"/>
        <w:tblLook w:firstColumn="1" w:firstRow="1" w:lastColumn="0" w:lastRow="0" w:noHBand="0" w:noVBand="1" w:val="04A0"/>
      </w:tblPr>
      <w:tblGrid>
        <w:gridCol w:w="3360"/>
        <w:gridCol w:w="3360"/>
        <w:gridCol w:w="3360"/>
      </w:tblGrid>
      <w:tr>
        <w:trPr>
          <w:tblHeader w:val="true"/>
          <w:cantSplit/>
        </w:trPr>
        <w:tc>
          <w:tcPr>
            <w:tcW w:type="dxa" w:w="3240"/>
            <w:shd w:fill="17365D"/>
            <w:tcMar>
              <w:top w:w="70" w:type="dxa"/>
              <w:start w:w="85" w:type="dxa"/>
              <w:bottom w:w="70" w:type="dxa"/>
              <w:end w:w="85" w:type="dxa"/>
            </w:tcMar>
            <w:vAlign w:val="center"/>
          </w:tcPr>
          <w:p>
            <w:pPr>
              <w:spacing w:after="0"/>
            </w:pPr>
            <w:r>
              <w:rPr>
                <w:rFonts w:ascii="Liberation Sans" w:hAnsi="Liberation Sans"/>
                <w:b/>
                <w:color w:val="FFFFFF"/>
                <w:sz w:val="15"/>
              </w:rPr>
              <w:t>Before changing accuracy logic</w:t>
            </w:r>
          </w:p>
        </w:tc>
        <w:tc>
          <w:tcPr>
            <w:tcW w:type="dxa" w:w="3240"/>
            <w:shd w:fill="17365D"/>
            <w:tcMar>
              <w:top w:w="70" w:type="dxa"/>
              <w:start w:w="85" w:type="dxa"/>
              <w:bottom w:w="70" w:type="dxa"/>
              <w:end w:w="85" w:type="dxa"/>
            </w:tcMar>
            <w:vAlign w:val="center"/>
          </w:tcPr>
          <w:p>
            <w:pPr>
              <w:spacing w:after="0"/>
            </w:pPr>
            <w:r>
              <w:rPr>
                <w:rFonts w:ascii="Liberation Sans" w:hAnsi="Liberation Sans"/>
                <w:b/>
                <w:color w:val="FFFFFF"/>
                <w:sz w:val="15"/>
              </w:rPr>
              <w:t>Before committing</w:t>
            </w:r>
          </w:p>
        </w:tc>
        <w:tc>
          <w:tcPr>
            <w:tcW w:type="dxa" w:w="3240"/>
            <w:shd w:fill="17365D"/>
            <w:tcMar>
              <w:top w:w="70" w:type="dxa"/>
              <w:start w:w="85" w:type="dxa"/>
              <w:bottom w:w="70" w:type="dxa"/>
              <w:end w:w="85" w:type="dxa"/>
            </w:tcMar>
            <w:vAlign w:val="center"/>
          </w:tcPr>
          <w:p>
            <w:pPr>
              <w:spacing w:after="0"/>
            </w:pPr>
            <w:r>
              <w:rPr>
                <w:rFonts w:ascii="Liberation Sans" w:hAnsi="Liberation Sans"/>
                <w:b/>
                <w:color w:val="FFFFFF"/>
                <w:sz w:val="15"/>
              </w:rPr>
              <w:t>Before a demo</w:t>
            </w:r>
          </w:p>
        </w:tc>
      </w:tr>
      <w:tr>
        <w:trPr>
          <w:cantSplit/>
        </w:trPr>
        <w:tc>
          <w:tcPr>
            <w:tcW w:type="dxa" w:w="3240"/>
            <w:tcMar>
              <w:top w:w="70" w:type="dxa"/>
              <w:start w:w="85" w:type="dxa"/>
              <w:bottom w:w="70" w:type="dxa"/>
              <w:end w:w="85" w:type="dxa"/>
            </w:tcMar>
            <w:vAlign w:val="top"/>
          </w:tcPr>
          <w:p>
            <w:pPr>
              <w:spacing w:after="0"/>
            </w:pPr>
            <w:r>
              <w:rPr>
                <w:rFonts w:ascii="Liberation Sans" w:hAnsi="Liberation Sans"/>
                <w:sz w:val="15"/>
              </w:rPr>
              <w:t>Run all 7 scenarios and save raw JSON.</w:t>
            </w:r>
          </w:p>
        </w:tc>
        <w:tc>
          <w:tcPr>
            <w:tcW w:type="dxa" w:w="3240"/>
            <w:tcMar>
              <w:top w:w="70" w:type="dxa"/>
              <w:start w:w="85" w:type="dxa"/>
              <w:bottom w:w="70" w:type="dxa"/>
              <w:end w:w="85" w:type="dxa"/>
            </w:tcMar>
            <w:vAlign w:val="top"/>
          </w:tcPr>
          <w:p>
            <w:pPr>
              <w:spacing w:after="0"/>
            </w:pPr>
            <w:r>
              <w:rPr>
                <w:rFonts w:ascii="Liberation Sans" w:hAnsi="Liberation Sans"/>
                <w:sz w:val="15"/>
              </w:rPr>
              <w:t>Run regression scenarios after the change.</w:t>
            </w:r>
          </w:p>
        </w:tc>
        <w:tc>
          <w:tcPr>
            <w:tcW w:type="dxa" w:w="3240"/>
            <w:tcMar>
              <w:top w:w="70" w:type="dxa"/>
              <w:start w:w="85" w:type="dxa"/>
              <w:bottom w:w="70" w:type="dxa"/>
              <w:end w:w="85" w:type="dxa"/>
            </w:tcMar>
            <w:vAlign w:val="top"/>
          </w:tcPr>
          <w:p>
            <w:pPr>
              <w:spacing w:after="0"/>
            </w:pPr>
            <w:r>
              <w:rPr>
                <w:rFonts w:ascii="Liberation Sans" w:hAnsi="Liberation Sans"/>
                <w:sz w:val="15"/>
              </w:rPr>
              <w:t>Set hosted ECS desired count to 1 if using the cloud demo.</w:t>
            </w:r>
          </w:p>
        </w:tc>
      </w:tr>
      <w:tr>
        <w:trPr>
          <w:cantSplit/>
        </w:trPr>
        <w:tc>
          <w:tcPr>
            <w:tcW w:type="dxa" w:w="3240"/>
            <w:tcMar>
              <w:top w:w="70" w:type="dxa"/>
              <w:start w:w="85" w:type="dxa"/>
              <w:bottom w:w="70" w:type="dxa"/>
              <w:end w:w="85" w:type="dxa"/>
            </w:tcMar>
            <w:vAlign w:val="top"/>
          </w:tcPr>
          <w:p>
            <w:pPr>
              <w:spacing w:after="0"/>
            </w:pPr>
            <w:r>
              <w:rPr>
                <w:rFonts w:ascii="Liberation Sans" w:hAnsi="Liberation Sans"/>
                <w:sz w:val="15"/>
              </w:rPr>
              <w:t>Identify whether failure is data, retrieval, classifier, FTA, or calculation.</w:t>
            </w:r>
          </w:p>
        </w:tc>
        <w:tc>
          <w:tcPr>
            <w:tcW w:type="dxa" w:w="3240"/>
            <w:tcMar>
              <w:top w:w="70" w:type="dxa"/>
              <w:start w:w="85" w:type="dxa"/>
              <w:bottom w:w="70" w:type="dxa"/>
              <w:end w:w="85" w:type="dxa"/>
            </w:tcMar>
            <w:vAlign w:val="top"/>
          </w:tcPr>
          <w:p>
            <w:pPr>
              <w:spacing w:after="0"/>
            </w:pPr>
            <w:r>
              <w:rPr>
                <w:rFonts w:ascii="Liberation Sans" w:hAnsi="Liberation Sans"/>
                <w:sz w:val="15"/>
              </w:rPr>
              <w:t>Inspect git diff; exclude generated data, dumps, debug output, and secrets.</w:t>
            </w:r>
          </w:p>
        </w:tc>
        <w:tc>
          <w:tcPr>
            <w:tcW w:type="dxa" w:w="3240"/>
            <w:tcMar>
              <w:top w:w="70" w:type="dxa"/>
              <w:start w:w="85" w:type="dxa"/>
              <w:bottom w:w="70" w:type="dxa"/>
              <w:end w:w="85" w:type="dxa"/>
            </w:tcMar>
            <w:vAlign w:val="top"/>
          </w:tcPr>
          <w:p>
            <w:pPr>
              <w:spacing w:after="0"/>
            </w:pPr>
            <w:r>
              <w:rPr>
                <w:rFonts w:ascii="Liberation Sans" w:hAnsi="Liberation Sans"/>
                <w:sz w:val="15"/>
              </w:rPr>
              <w:t>Verify the public endpoint/health check.</w:t>
            </w:r>
          </w:p>
        </w:tc>
      </w:tr>
      <w:tr>
        <w:trPr>
          <w:cantSplit/>
        </w:trPr>
        <w:tc>
          <w:tcPr>
            <w:tcW w:type="dxa" w:w="3240"/>
            <w:tcMar>
              <w:top w:w="70" w:type="dxa"/>
              <w:start w:w="85" w:type="dxa"/>
              <w:bottom w:w="70" w:type="dxa"/>
              <w:end w:w="85" w:type="dxa"/>
            </w:tcMar>
            <w:vAlign w:val="top"/>
          </w:tcPr>
          <w:p>
            <w:pPr>
              <w:spacing w:after="0"/>
            </w:pPr>
            <w:r>
              <w:rPr>
                <w:rFonts w:ascii="Liberation Sans" w:hAnsi="Liberation Sans"/>
                <w:sz w:val="15"/>
              </w:rPr>
              <w:t>Fix source data/coverage before prompt tuning when the correct row is absent.</w:t>
            </w:r>
          </w:p>
        </w:tc>
        <w:tc>
          <w:tcPr>
            <w:tcW w:type="dxa" w:w="3240"/>
            <w:tcMar>
              <w:top w:w="70" w:type="dxa"/>
              <w:start w:w="85" w:type="dxa"/>
              <w:bottom w:w="70" w:type="dxa"/>
              <w:end w:w="85" w:type="dxa"/>
            </w:tcMar>
            <w:vAlign w:val="top"/>
          </w:tcPr>
          <w:p>
            <w:pPr>
              <w:spacing w:after="0"/>
            </w:pPr>
            <w:r>
              <w:rPr>
                <w:rFonts w:ascii="Liberation Sans" w:hAnsi="Liberation Sans"/>
                <w:sz w:val="15"/>
              </w:rPr>
              <w:t>Confirm no AWS credentials or cloud database secrets are committed.</w:t>
            </w:r>
          </w:p>
        </w:tc>
        <w:tc>
          <w:tcPr>
            <w:tcW w:type="dxa" w:w="3240"/>
            <w:tcMar>
              <w:top w:w="70" w:type="dxa"/>
              <w:start w:w="85" w:type="dxa"/>
              <w:bottom w:w="70" w:type="dxa"/>
              <w:end w:w="85" w:type="dxa"/>
            </w:tcMar>
            <w:vAlign w:val="top"/>
          </w:tcPr>
          <w:p>
            <w:pPr>
              <w:spacing w:after="0"/>
            </w:pPr>
            <w:r>
              <w:rPr>
                <w:rFonts w:ascii="Liberation Sans" w:hAnsi="Liberation Sans"/>
                <w:sz w:val="15"/>
              </w:rPr>
              <w:t>Run the seven scenarios once and keep expected outputs available for comparison.</w:t>
            </w:r>
          </w:p>
        </w:tc>
      </w:tr>
      <w:tr>
        <w:trPr>
          <w:cantSplit/>
        </w:trPr>
        <w:tc>
          <w:tcPr>
            <w:tcW w:type="dxa" w:w="3240"/>
            <w:tcMar>
              <w:top w:w="70" w:type="dxa"/>
              <w:start w:w="85" w:type="dxa"/>
              <w:bottom w:w="70" w:type="dxa"/>
              <w:end w:w="85" w:type="dxa"/>
            </w:tcMar>
            <w:vAlign w:val="top"/>
          </w:tcPr>
          <w:p>
            <w:pPr>
              <w:spacing w:after="0"/>
            </w:pPr>
            <w:r>
              <w:rPr>
                <w:rFonts w:ascii="Liberation Sans" w:hAnsi="Liberation Sans"/>
                <w:sz w:val="15"/>
              </w:rPr>
              <w:t>Keep deterministic filtering ahead of LLM reasoning.</w:t>
            </w:r>
          </w:p>
        </w:tc>
        <w:tc>
          <w:tcPr>
            <w:tcW w:type="dxa" w:w="3240"/>
            <w:tcMar>
              <w:top w:w="70" w:type="dxa"/>
              <w:start w:w="85" w:type="dxa"/>
              <w:bottom w:w="70" w:type="dxa"/>
              <w:end w:w="85" w:type="dxa"/>
            </w:tcMar>
            <w:vAlign w:val="top"/>
          </w:tcPr>
          <w:p>
            <w:pPr>
              <w:spacing w:after="0"/>
            </w:pPr>
            <w:r>
              <w:rPr>
                <w:rFonts w:ascii="Liberation Sans" w:hAnsi="Liberation Sans"/>
                <w:sz w:val="15"/>
              </w:rPr>
              <w:t>Document any changed assumptions/status semantics.</w:t>
            </w:r>
          </w:p>
        </w:tc>
        <w:tc>
          <w:tcPr>
            <w:tcW w:type="dxa" w:w="3240"/>
            <w:tcMar>
              <w:top w:w="70" w:type="dxa"/>
              <w:start w:w="85" w:type="dxa"/>
              <w:bottom w:w="70" w:type="dxa"/>
              <w:end w:w="85" w:type="dxa"/>
            </w:tcMar>
            <w:vAlign w:val="top"/>
          </w:tcPr>
          <w:p>
            <w:pPr>
              <w:spacing w:after="0"/>
            </w:pPr>
            <w:r>
              <w:rPr>
                <w:rFonts w:ascii="Liberation Sans" w:hAnsi="Liberation Sans"/>
                <w:sz w:val="15"/>
              </w:rPr>
              <w:t>After the demo, scale the ECS service back to 0 if desired for cost control.</w:t>
            </w:r>
          </w:p>
        </w:tc>
      </w:tr>
    </w:tbl>
    <w:p>
      <w:pPr>
        <w:pStyle w:val="SmallNote"/>
      </w:pPr>
    </w:p>
    <w:tbl>
      <w:tblPr>
        <w:tblStyle w:val="TableGrid"/>
        <w:tblW w:type="auto" w:w="0"/>
        <w:jc w:val="center"/>
        <w:tblLook w:firstColumn="1" w:firstRow="1" w:lastColumn="0" w:lastRow="0" w:noHBand="0" w:noVBand="1" w:val="04A0"/>
      </w:tblPr>
      <w:tblGrid>
        <w:gridCol w:w="10080"/>
      </w:tblGrid>
      <w:tr>
        <w:tc>
          <w:tcPr>
            <w:tcW w:type="dxa" w:w="10080"/>
            <w:shd w:fill="E2F0D9"/>
            <w:tcMar>
              <w:top w:w="100" w:type="dxa"/>
              <w:start w:w="120" w:type="dxa"/>
              <w:bottom w:w="100" w:type="dxa"/>
              <w:end w:w="120" w:type="dxa"/>
            </w:tcMar>
          </w:tcPr>
          <w:p>
            <w:pPr>
              <w:spacing w:after="40"/>
            </w:pPr>
            <w:r>
              <w:rPr>
                <w:b/>
                <w:color w:val="17365D"/>
              </w:rPr>
              <w:t xml:space="preserve">Working principle: </w:t>
            </w:r>
            <w:r>
              <w:rPr>
                <w:sz w:val="18"/>
              </w:rPr>
              <w:t>When a result is wrong, first ask whether the correct regulatory record exists and was retrieved. Only tune the model after data coverage and deterministic filtering are known to be correct.</w:t>
            </w:r>
          </w:p>
        </w:tc>
      </w:tr>
    </w:tbl>
    <w:p>
      <w:pPr>
        <w:pStyle w:val="SmallNote"/>
      </w:pPr>
    </w:p>
    <w:sectPr w:rsidR="00FC693F" w:rsidRPr="0006063C" w:rsidSect="00034616">
      <w:headerReference w:type="default" r:id="rId9"/>
      <w:footerReference w:type="default" r:id="rId10"/>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SmallNote"/>
      <w:jc w:val="right"/>
    </w:pPr>
    <w:r>
      <w:t xml:space="preserve">Page </w:t>
      <w:fldChar w:fldCharType="begin"/>
      <w:instrText xml:space="preserve"> PAGE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SmallNote"/>
      <w:jc w:val="right"/>
    </w:pPr>
    <w:r>
      <w:t>Regulatory Engine - Local Working Guide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line="259" w:lineRule="auto"/>
    </w:pPr>
    <w:rPr>
      <w:rFonts w:ascii="Liberation Sans" w:hAnsi="Liberation Sans"/>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60" w:after="80"/>
      <w:outlineLvl w:val="0"/>
    </w:pPr>
    <w:rPr>
      <w:rFonts w:asciiTheme="majorHAnsi" w:eastAsiaTheme="majorEastAsia" w:hAnsiTheme="majorHAnsi" w:cstheme="majorBidi" w:ascii="Liberation Sans" w:hAnsi="Liberation Sans"/>
      <w:b/>
      <w:bCs/>
      <w:color w:val="17365D"/>
      <w:sz w:val="32"/>
      <w:szCs w:val="28"/>
    </w:rPr>
  </w:style>
  <w:style w:type="paragraph" w:styleId="Heading2">
    <w:name w:val="heading 2"/>
    <w:basedOn w:val="Normal"/>
    <w:next w:val="Normal"/>
    <w:link w:val="Heading2Char"/>
    <w:uiPriority w:val="9"/>
    <w:unhideWhenUsed/>
    <w:qFormat/>
    <w:rsid w:val="00FC693F"/>
    <w:pPr>
      <w:keepNext/>
      <w:keepLines/>
      <w:spacing w:before="160" w:after="80"/>
      <w:outlineLvl w:val="1"/>
    </w:pPr>
    <w:rPr>
      <w:rFonts w:asciiTheme="majorHAnsi" w:eastAsiaTheme="majorEastAsia" w:hAnsiTheme="majorHAnsi" w:cstheme="majorBidi" w:ascii="Liberation Sans" w:hAnsi="Liberation Sans"/>
      <w:b/>
      <w:bCs/>
      <w:color w:val="2F5597"/>
      <w:sz w:val="25"/>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ascii="Liberation Sans" w:hAnsi="Liberation Sans"/>
      <w:b/>
      <w:bCs/>
      <w:color w:val="2F5597"/>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80" w:line="240" w:lineRule="auto" w:before="0"/>
      <w:contextualSpacing/>
    </w:pPr>
    <w:rPr>
      <w:rFonts w:asciiTheme="majorHAnsi" w:eastAsiaTheme="majorEastAsia" w:hAnsiTheme="majorHAnsi" w:cstheme="majorBidi" w:ascii="Liberation Sans" w:hAnsi="Liberation Sans"/>
      <w:b/>
      <w:color w:val="17365D"/>
      <w:spacing w:val="5"/>
      <w:kern w:val="28"/>
      <w:sz w:val="5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Block">
    <w:name w:val="Code Block"/>
    <w:pPr>
      <w:spacing w:before="60" w:after="100"/>
      <w:ind w:left="259"/>
    </w:pPr>
    <w:rPr>
      <w:rFonts w:ascii="Liberation Mono" w:hAnsi="Liberation Mono"/>
      <w:sz w:val="16"/>
    </w:rPr>
  </w:style>
  <w:style w:type="paragraph" w:customStyle="1" w:styleId="SmallNote">
    <w:name w:val="Small Note"/>
    <w:pPr>
      <w:spacing w:after="60"/>
    </w:pPr>
    <w:rPr>
      <w:rFonts w:ascii="Liberation Sans" w:hAnsi="Liberation Sans"/>
      <w:color w:val="666666"/>
      <w:sz w:val="17"/>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