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00"/>
        <w:jc w:val="center"/>
      </w:pPr>
      <w:r>
        <w:rPr>
          <w:rFonts w:ascii="Aptos" w:cs="Aptos" w:eastAsia="Aptos" w:hAnsi="Aptos"/>
          <w:b/>
          <w:bCs/>
          <w:color w:val="147D88"/>
          <w:sz w:val="20"/>
          <w:szCs w:val="20"/>
        </w:rPr>
        <w:t xml:space="preserve">CASHKARO  |  APM INTERN PRODUCT CASE</w:t>
      </w:r>
    </w:p>
    <w:p>
      <w:pPr>
        <w:spacing w:after="90"/>
        <w:jc w:val="center"/>
      </w:pPr>
      <w:r>
        <w:rPr>
          <w:rFonts w:ascii="Aptos" w:cs="Aptos" w:eastAsia="Aptos" w:hAnsi="Aptos"/>
          <w:b/>
          <w:bCs/>
          <w:color w:val="17365D"/>
          <w:sz w:val="54"/>
          <w:szCs w:val="54"/>
        </w:rPr>
        <w:t xml:space="preserve">Making CashKaro part</w:t>
      </w:r>
    </w:p>
    <w:p>
      <w:pPr>
        <w:spacing w:after="220"/>
        <w:jc w:val="center"/>
      </w:pPr>
      <w:r>
        <w:rPr>
          <w:rFonts w:ascii="Aptos" w:cs="Aptos" w:eastAsia="Aptos" w:hAnsi="Aptos"/>
          <w:b/>
          <w:bCs/>
          <w:color w:val="17365D"/>
          <w:sz w:val="54"/>
          <w:szCs w:val="54"/>
        </w:rPr>
        <w:t xml:space="preserve">of the shopping habit</w:t>
      </w:r>
    </w:p>
    <w:p>
      <w:pPr>
        <w:spacing w:after="320"/>
        <w:jc w:val="center"/>
      </w:pPr>
      <w:r>
        <w:rPr>
          <w:rFonts w:ascii="Aptos" w:cs="Aptos" w:eastAsia="Aptos" w:hAnsi="Aptos"/>
          <w:color w:val="17365D"/>
          <w:sz w:val="26"/>
          <w:szCs w:val="26"/>
        </w:rPr>
        <w:t xml:space="preserve">A hypothesis-led plan to convert existing-user leakage into incremental tracked orders</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EEF4F8"/>
            <w:tcMar>
              <w:top w:type="dxa" w:w="110"/>
              <w:left w:type="dxa" w:w="160"/>
              <w:bottom w:type="dxa" w:w="110"/>
              <w:right w:type="dxa" w:w="160"/>
            </w:tcMar>
          </w:tcPr>
          <w:p>
            <w:pPr>
              <w:spacing w:after="0" w:line="254"/>
            </w:pPr>
            <w:r>
              <w:rPr>
                <w:rFonts w:ascii="Aptos" w:cs="Aptos" w:eastAsia="Aptos" w:hAnsi="Aptos"/>
                <w:b/>
                <w:bCs/>
                <w:color w:val="17365D"/>
                <w:sz w:val="17"/>
                <w:szCs w:val="17"/>
              </w:rPr>
              <w:t xml:space="preserve">RECOMMENDATION  </w:t>
            </w:r>
            <w:r>
              <w:rPr>
                <w:rFonts w:ascii="Aptos" w:cs="Aptos" w:eastAsia="Aptos" w:hAnsi="Aptos"/>
                <w:color w:val="17212B"/>
                <w:sz w:val="18"/>
                <w:szCs w:val="18"/>
              </w:rPr>
              <w:t xml:space="preserve">Validate routing friction among high-frequency leakage users before engineering. If the evidence holds, launch a narrow, desktop-first Intent Router on 3–5 eligible retailers. Treat mobile recovery as V1.5 and trust as a launch guardrail — not an assumption.</w:t>
            </w:r>
          </w:p>
        </w:tc>
      </w:tr>
    </w:tbl>
    <w:p>
      <w:pPr>
        <w:spacing w:after="300"/>
      </w:pPr>
    </w:p>
    <w:p>
      <w:pPr>
        <w:spacing w:after="40"/>
        <w:jc w:val="center"/>
      </w:pPr>
      <w:r>
        <w:rPr>
          <w:rFonts w:ascii="Aptos" w:cs="Aptos" w:eastAsia="Aptos" w:hAnsi="Aptos"/>
          <w:color w:val="5E6B78"/>
          <w:sz w:val="19"/>
          <w:szCs w:val="19"/>
        </w:rPr>
        <w:t xml:space="preserve">Prepared by: Suvam Priya Ranjan Sahoo</w:t>
      </w:r>
    </w:p>
    <w:p>
      <w:pPr>
        <w:spacing w:after="60" w:before="200"/>
        <w:jc w:val="center"/>
      </w:pPr>
      <w:r>
        <w:rPr>
          <w:rFonts w:ascii="Aptos" w:cs="Aptos" w:eastAsia="Aptos" w:hAnsi="Aptos"/>
          <w:i/>
          <w:iCs/>
          <w:color w:val="5E6B78"/>
          <w:sz w:val="18"/>
          <w:szCs w:val="18"/>
        </w:rPr>
        <w:t xml:space="preserve">Evidence discipline: No synthetic segment size, interview result, baseline conversion rate, or financial forecast is presented as CashKaro fact.</w:t>
      </w:r>
    </w:p>
    <w:p>
      <w:pPr>
        <w:spacing w:after="200"/>
      </w:pPr>
    </w:p>
    <w:p>
      <w:pPr>
        <w:pBdr>
          <w:top w:val="single" w:color="D6E3EC" w:sz="4" w:space="8"/>
        </w:pBdr>
        <w:spacing w:before="260"/>
        <w:jc w:val="center"/>
      </w:pPr>
      <w:r>
        <w:rPr>
          <w:rFonts w:ascii="Aptos" w:cs="Aptos" w:eastAsia="Aptos" w:hAnsi="Aptos"/>
          <w:b/>
          <w:bCs/>
          <w:color w:val="5E6B78"/>
          <w:sz w:val="15"/>
          <w:szCs w:val="15"/>
        </w:rPr>
        <w:t xml:space="preserve">HOW TO READ THIS MEMO</w:t>
      </w:r>
    </w:p>
    <w:p>
      <w:pPr>
        <w:spacing w:before="60"/>
        <w:jc w:val="center"/>
      </w:pPr>
      <w:r>
        <w:rPr>
          <w:rFonts w:ascii="Aptos" w:cs="Aptos" w:eastAsia="Aptos" w:hAnsi="Aptos"/>
          <w:color w:val="5E6B78"/>
          <w:sz w:val="15"/>
          <w:szCs w:val="15"/>
        </w:rPr>
        <w:t xml:space="preserve">Blue = context/decision   ·   Green = decision/positive   ·   Yellow = guardrail/heuristic   ·   Red = risk</w:t>
      </w:r>
    </w:p>
    <w:p>
      <w:r>
        <w:br w:type="page"/>
      </w:r>
    </w:p>
    <w:p>
      <w:pPr>
        <w:pStyle w:val="Heading1"/>
        <w:keepNext/>
        <w:spacing w:after="140" w:before="260"/>
      </w:pPr>
      <w:r>
        <w:rPr>
          <w:rFonts w:ascii="Aptos" w:cs="Aptos" w:eastAsia="Aptos" w:hAnsi="Aptos"/>
          <w:b/>
          <w:bCs/>
          <w:color w:val="17365D"/>
          <w:sz w:val="31"/>
          <w:szCs w:val="31"/>
        </w:rPr>
        <w:t xml:space="preserve">Executive summary</w:t>
      </w:r>
    </w:p>
    <w:p>
      <w:pPr>
        <w:spacing w:after="120" w:before="0" w:line="264"/>
      </w:pPr>
      <w:r>
        <w:rPr>
          <w:rFonts w:ascii="Aptos" w:cs="Aptos" w:eastAsia="Aptos" w:hAnsi="Aptos"/>
          <w:color w:val="17212B"/>
          <w:sz w:val="20"/>
          <w:szCs w:val="20"/>
        </w:rPr>
        <w:t xml:space="preserve">The business outcome is more tracked orders per existing user per quarter, measured on a fixed cohort. Direct purchases at eligible retailers are an observable outcome, not a diagnosis: the underlying cause may be routing friction, weak value, lost trust, or a shopping habit CashKaro never earned.</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EEF4F8"/>
            <w:tcMar>
              <w:top w:type="dxa" w:w="110"/>
              <w:left w:type="dxa" w:w="160"/>
              <w:bottom w:type="dxa" w:w="110"/>
              <w:right w:type="dxa" w:w="160"/>
            </w:tcMar>
          </w:tcPr>
          <w:p>
            <w:pPr>
              <w:spacing w:after="0" w:line="254"/>
            </w:pPr>
            <w:r>
              <w:rPr>
                <w:rFonts w:ascii="Aptos" w:cs="Aptos" w:eastAsia="Aptos" w:hAnsi="Aptos"/>
                <w:b/>
                <w:bCs/>
                <w:color w:val="17365D"/>
                <w:sz w:val="17"/>
                <w:szCs w:val="17"/>
              </w:rPr>
              <w:t xml:space="preserve">PRODUCT DECISION AT A GLANCE  </w:t>
            </w:r>
            <w:r>
              <w:rPr>
                <w:rFonts w:ascii="Aptos" w:cs="Aptos" w:eastAsia="Aptos" w:hAnsi="Aptos"/>
                <w:color w:val="17212B"/>
                <w:sz w:val="18"/>
                <w:szCs w:val="18"/>
              </w:rPr>
              <w:t xml:space="preserve">Problem: direct retailer leakage has no confirmed cause. Hypothesis: some high-frequency users know the value but recall it too late or find restarting costly. Product: validated target + desktop-first Intent Router. Validation: G1 → G2 → G3 → G4; persistent 50/50 ITT. Metric: incremental tracked orders per eligible user. Scale only with practical, precise, economically positive lift and healthy guardrails.</w:t>
            </w:r>
          </w:p>
        </w:tc>
      </w:tr>
    </w:tbl>
    <w:p>
      <w:pPr>
        <w:spacing w:after="80"/>
      </w:pP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gridCol w:w="100"/>
        <w:gridCol w:w="100"/>
      </w:tblGrid>
      <w:tr>
        <w:trPr>
          <w:cantSplit/>
        </w:trPr>
        <w:tc>
          <w:tcPr>
            <w:tcW w:type="dxa" w:w="1998"/>
            <w:shd w:fill="EEF4F8"/>
            <w:tcMar>
              <w:top w:type="dxa" w:w="100"/>
              <w:left w:type="dxa" w:w="90"/>
              <w:bottom w:type="dxa" w:w="100"/>
              <w:right w:type="dxa" w:w="90"/>
            </w:tcMar>
            <w:vAlign w:val="center"/>
          </w:tcPr>
          <w:p>
            <w:pPr>
              <w:spacing w:after="0" w:line="230"/>
              <w:jc w:val="center"/>
            </w:pPr>
            <w:r>
              <w:rPr>
                <w:rFonts w:ascii="Aptos" w:cs="Aptos" w:eastAsia="Aptos" w:hAnsi="Aptos"/>
                <w:b/>
                <w:bCs/>
                <w:color w:val="17365D"/>
                <w:sz w:val="13"/>
                <w:szCs w:val="13"/>
              </w:rPr>
              <w:t xml:space="preserve">BUSINESS OUTCOME</w:t>
            </w:r>
          </w:p>
          <w:p>
            <w:pPr>
              <w:spacing w:after="0" w:line="230"/>
              <w:jc w:val="center"/>
            </w:pPr>
            <w:r>
              <w:rPr>
                <w:rFonts w:ascii="Aptos" w:cs="Aptos" w:eastAsia="Aptos" w:hAnsi="Aptos"/>
                <w:color w:val="17365D"/>
                <w:sz w:val="13"/>
                <w:szCs w:val="13"/>
              </w:rPr>
              <w:t xml:space="preserve">Tracked orders / existing user / quarter</w:t>
            </w:r>
          </w:p>
        </w:tc>
        <w:tc>
          <w:tcPr>
            <w:tcW w:type="dxa" w:w="1998"/>
            <w:shd w:fill="E8F3FA"/>
            <w:tcMar>
              <w:top w:type="dxa" w:w="100"/>
              <w:left w:type="dxa" w:w="90"/>
              <w:bottom w:type="dxa" w:w="100"/>
              <w:right w:type="dxa" w:w="90"/>
            </w:tcMar>
            <w:vAlign w:val="center"/>
          </w:tcPr>
          <w:p>
            <w:pPr>
              <w:spacing w:after="0" w:line="230"/>
              <w:jc w:val="center"/>
            </w:pPr>
            <w:r>
              <w:rPr>
                <w:rFonts w:ascii="Aptos" w:cs="Aptos" w:eastAsia="Aptos" w:hAnsi="Aptos"/>
                <w:b/>
                <w:bCs/>
                <w:color w:val="17365D"/>
                <w:sz w:val="13"/>
                <w:szCs w:val="13"/>
              </w:rPr>
              <w:t xml:space="preserve">OBSERVED LEAKAGE</w:t>
            </w:r>
          </w:p>
          <w:p>
            <w:pPr>
              <w:spacing w:after="0" w:line="230"/>
              <w:jc w:val="center"/>
            </w:pPr>
            <w:r>
              <w:rPr>
                <w:rFonts w:ascii="Aptos" w:cs="Aptos" w:eastAsia="Aptos" w:hAnsi="Aptos"/>
                <w:color w:val="17365D"/>
                <w:sz w:val="13"/>
                <w:szCs w:val="13"/>
              </w:rPr>
              <w:t xml:space="preserve">Direct retailer purchase</w:t>
            </w:r>
          </w:p>
        </w:tc>
        <w:tc>
          <w:tcPr>
            <w:tcW w:type="dxa" w:w="1998"/>
            <w:shd w:fill="EEF4F8"/>
            <w:tcMar>
              <w:top w:type="dxa" w:w="100"/>
              <w:left w:type="dxa" w:w="90"/>
              <w:bottom w:type="dxa" w:w="100"/>
              <w:right w:type="dxa" w:w="90"/>
            </w:tcMar>
            <w:vAlign w:val="center"/>
          </w:tcPr>
          <w:p>
            <w:pPr>
              <w:spacing w:after="0" w:line="230"/>
              <w:jc w:val="center"/>
            </w:pPr>
            <w:r>
              <w:rPr>
                <w:rFonts w:ascii="Aptos" w:cs="Aptos" w:eastAsia="Aptos" w:hAnsi="Aptos"/>
                <w:b/>
                <w:bCs/>
                <w:color w:val="17365D"/>
                <w:sz w:val="13"/>
                <w:szCs w:val="13"/>
              </w:rPr>
              <w:t xml:space="preserve">COMPETING HYPOTHESES</w:t>
            </w:r>
          </w:p>
          <w:p>
            <w:pPr>
              <w:spacing w:after="0" w:line="230"/>
              <w:jc w:val="center"/>
            </w:pPr>
            <w:r>
              <w:rPr>
                <w:rFonts w:ascii="Aptos" w:cs="Aptos" w:eastAsia="Aptos" w:hAnsi="Aptos"/>
                <w:color w:val="17365D"/>
                <w:sz w:val="13"/>
                <w:szCs w:val="13"/>
              </w:rPr>
              <w:t xml:space="preserve">Routing / Trust / Discovery</w:t>
            </w:r>
          </w:p>
        </w:tc>
        <w:tc>
          <w:tcPr>
            <w:tcW w:type="dxa" w:w="1998"/>
            <w:shd w:fill="E8F3FA"/>
            <w:tcMar>
              <w:top w:type="dxa" w:w="100"/>
              <w:left w:type="dxa" w:w="90"/>
              <w:bottom w:type="dxa" w:w="100"/>
              <w:right w:type="dxa" w:w="90"/>
            </w:tcMar>
            <w:vAlign w:val="center"/>
          </w:tcPr>
          <w:p>
            <w:pPr>
              <w:spacing w:after="0" w:line="230"/>
              <w:jc w:val="center"/>
            </w:pPr>
            <w:r>
              <w:rPr>
                <w:rFonts w:ascii="Aptos" w:cs="Aptos" w:eastAsia="Aptos" w:hAnsi="Aptos"/>
                <w:b/>
                <w:bCs/>
                <w:color w:val="17365D"/>
                <w:sz w:val="13"/>
                <w:szCs w:val="13"/>
              </w:rPr>
              <w:t xml:space="preserve">TARGET</w:t>
            </w:r>
          </w:p>
          <w:p>
            <w:pPr>
              <w:spacing w:after="0" w:line="230"/>
              <w:jc w:val="center"/>
            </w:pPr>
            <w:r>
              <w:rPr>
                <w:rFonts w:ascii="Aptos" w:cs="Aptos" w:eastAsia="Aptos" w:hAnsi="Aptos"/>
                <w:color w:val="17365D"/>
                <w:sz w:val="13"/>
                <w:szCs w:val="13"/>
              </w:rPr>
              <w:t xml:space="preserve">Validated high-frequency leakage</w:t>
            </w:r>
          </w:p>
        </w:tc>
        <w:tc>
          <w:tcPr>
            <w:tcW w:type="dxa" w:w="1998"/>
            <w:shd w:fill="EEF4F8"/>
            <w:tcMar>
              <w:top w:type="dxa" w:w="100"/>
              <w:left w:type="dxa" w:w="90"/>
              <w:bottom w:type="dxa" w:w="100"/>
              <w:right w:type="dxa" w:w="90"/>
            </w:tcMar>
            <w:vAlign w:val="center"/>
          </w:tcPr>
          <w:p>
            <w:pPr>
              <w:spacing w:after="0" w:line="230"/>
              <w:jc w:val="center"/>
            </w:pPr>
            <w:r>
              <w:rPr>
                <w:rFonts w:ascii="Aptos" w:cs="Aptos" w:eastAsia="Aptos" w:hAnsi="Aptos"/>
                <w:b/>
                <w:bCs/>
                <w:color w:val="17365D"/>
                <w:sz w:val="13"/>
                <w:szCs w:val="13"/>
              </w:rPr>
              <w:t xml:space="preserve">V1 BET</w:t>
            </w:r>
          </w:p>
          <w:p>
            <w:pPr>
              <w:spacing w:after="0" w:line="230"/>
              <w:jc w:val="center"/>
            </w:pPr>
            <w:r>
              <w:rPr>
                <w:rFonts w:ascii="Aptos" w:cs="Aptos" w:eastAsia="Aptos" w:hAnsi="Aptos"/>
                <w:color w:val="17365D"/>
                <w:sz w:val="13"/>
                <w:szCs w:val="13"/>
              </w:rPr>
              <w:t xml:space="preserve">Intent Router</w:t>
            </w:r>
          </w:p>
        </w:tc>
      </w:tr>
    </w:tbl>
    <w:p>
      <w:pPr>
        <w:spacing w:after="60" w:before="60"/>
        <w:jc w:val="center"/>
      </w:pPr>
      <w:r>
        <w:rPr>
          <w:rFonts w:ascii="Aptos" w:cs="Aptos" w:eastAsia="Aptos" w:hAnsi="Aptos"/>
          <w:b/>
          <w:bCs/>
          <w:color w:val="147D88"/>
          <w:sz w:val="22"/>
          <w:szCs w:val="22"/>
        </w:rPr>
        <w:t xml:space="preserve">↓</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gridCol w:w="100"/>
      </w:tblGrid>
      <w:tr>
        <w:trPr>
          <w:cantSplit/>
        </w:trPr>
        <w:tc>
          <w:tcPr>
            <w:tcW w:type="dxa" w:w="2498"/>
            <w:shd w:fill="EEF4F8"/>
            <w:tcMar>
              <w:top w:type="dxa" w:w="100"/>
              <w:left w:type="dxa" w:w="90"/>
              <w:bottom w:type="dxa" w:w="100"/>
              <w:right w:type="dxa" w:w="90"/>
            </w:tcMar>
            <w:vAlign w:val="center"/>
          </w:tcPr>
          <w:p>
            <w:pPr>
              <w:spacing w:after="0" w:line="230"/>
              <w:jc w:val="center"/>
            </w:pPr>
            <w:r>
              <w:rPr>
                <w:rFonts w:ascii="Aptos" w:cs="Aptos" w:eastAsia="Aptos" w:hAnsi="Aptos"/>
                <w:b/>
                <w:bCs/>
                <w:color w:val="17365D"/>
                <w:sz w:val="13"/>
                <w:szCs w:val="13"/>
              </w:rPr>
              <w:t xml:space="preserve">VALIDATION</w:t>
            </w:r>
          </w:p>
          <w:p>
            <w:pPr>
              <w:spacing w:after="0" w:line="230"/>
              <w:jc w:val="center"/>
            </w:pPr>
            <w:r>
              <w:rPr>
                <w:rFonts w:ascii="Aptos" w:cs="Aptos" w:eastAsia="Aptos" w:hAnsi="Aptos"/>
                <w:color w:val="17365D"/>
                <w:sz w:val="13"/>
                <w:szCs w:val="13"/>
              </w:rPr>
              <w:t xml:space="preserve">G1 → G2 → G3 → G4</w:t>
            </w:r>
          </w:p>
        </w:tc>
        <w:tc>
          <w:tcPr>
            <w:tcW w:type="dxa" w:w="2498"/>
            <w:shd w:fill="E8F3FA"/>
            <w:tcMar>
              <w:top w:type="dxa" w:w="100"/>
              <w:left w:type="dxa" w:w="90"/>
              <w:bottom w:type="dxa" w:w="100"/>
              <w:right w:type="dxa" w:w="90"/>
            </w:tcMar>
            <w:vAlign w:val="center"/>
          </w:tcPr>
          <w:p>
            <w:pPr>
              <w:spacing w:after="0" w:line="230"/>
              <w:jc w:val="center"/>
            </w:pPr>
            <w:r>
              <w:rPr>
                <w:rFonts w:ascii="Aptos" w:cs="Aptos" w:eastAsia="Aptos" w:hAnsi="Aptos"/>
                <w:b/>
                <w:bCs/>
                <w:color w:val="17365D"/>
                <w:sz w:val="13"/>
                <w:szCs w:val="13"/>
              </w:rPr>
              <w:t xml:space="preserve">PROOF</w:t>
            </w:r>
          </w:p>
          <w:p>
            <w:pPr>
              <w:spacing w:after="0" w:line="230"/>
              <w:jc w:val="center"/>
            </w:pPr>
            <w:r>
              <w:rPr>
                <w:rFonts w:ascii="Aptos" w:cs="Aptos" w:eastAsia="Aptos" w:hAnsi="Aptos"/>
                <w:color w:val="17365D"/>
                <w:sz w:val="13"/>
                <w:szCs w:val="13"/>
              </w:rPr>
              <w:t xml:space="preserve">Persistent 50/50 ITT</w:t>
            </w:r>
          </w:p>
        </w:tc>
        <w:tc>
          <w:tcPr>
            <w:tcW w:type="dxa" w:w="2498"/>
            <w:shd w:fill="EEF4F8"/>
            <w:tcMar>
              <w:top w:type="dxa" w:w="100"/>
              <w:left w:type="dxa" w:w="90"/>
              <w:bottom w:type="dxa" w:w="100"/>
              <w:right w:type="dxa" w:w="90"/>
            </w:tcMar>
            <w:vAlign w:val="center"/>
          </w:tcPr>
          <w:p>
            <w:pPr>
              <w:spacing w:after="0" w:line="230"/>
              <w:jc w:val="center"/>
            </w:pPr>
            <w:r>
              <w:rPr>
                <w:rFonts w:ascii="Aptos" w:cs="Aptos" w:eastAsia="Aptos" w:hAnsi="Aptos"/>
                <w:b/>
                <w:bCs/>
                <w:color w:val="17365D"/>
                <w:sz w:val="13"/>
                <w:szCs w:val="13"/>
              </w:rPr>
              <w:t xml:space="preserve">OUTCOME</w:t>
            </w:r>
          </w:p>
          <w:p>
            <w:pPr>
              <w:spacing w:after="0" w:line="230"/>
              <w:jc w:val="center"/>
            </w:pPr>
            <w:r>
              <w:rPr>
                <w:rFonts w:ascii="Aptos" w:cs="Aptos" w:eastAsia="Aptos" w:hAnsi="Aptos"/>
                <w:color w:val="17365D"/>
                <w:sz w:val="13"/>
                <w:szCs w:val="13"/>
              </w:rPr>
              <w:t xml:space="preserve">Incremental tracked orders</w:t>
            </w:r>
          </w:p>
        </w:tc>
        <w:tc>
          <w:tcPr>
            <w:tcW w:type="dxa" w:w="2498"/>
            <w:shd w:fill="E8F3FA"/>
            <w:tcMar>
              <w:top w:type="dxa" w:w="100"/>
              <w:left w:type="dxa" w:w="90"/>
              <w:bottom w:type="dxa" w:w="100"/>
              <w:right w:type="dxa" w:w="90"/>
            </w:tcMar>
            <w:vAlign w:val="center"/>
          </w:tcPr>
          <w:p>
            <w:pPr>
              <w:spacing w:after="0" w:line="230"/>
              <w:jc w:val="center"/>
            </w:pPr>
            <w:r>
              <w:rPr>
                <w:rFonts w:ascii="Aptos" w:cs="Aptos" w:eastAsia="Aptos" w:hAnsi="Aptos"/>
                <w:b/>
                <w:bCs/>
                <w:color w:val="17365D"/>
                <w:sz w:val="13"/>
                <w:szCs w:val="13"/>
              </w:rPr>
              <w:t xml:space="preserve">DECISION</w:t>
            </w:r>
          </w:p>
          <w:p>
            <w:pPr>
              <w:spacing w:after="0" w:line="230"/>
              <w:jc w:val="center"/>
            </w:pPr>
            <w:r>
              <w:rPr>
                <w:rFonts w:ascii="Aptos" w:cs="Aptos" w:eastAsia="Aptos" w:hAnsi="Aptos"/>
                <w:color w:val="17365D"/>
                <w:sz w:val="13"/>
                <w:szCs w:val="13"/>
              </w:rPr>
              <w:t xml:space="preserve">Scale / Iterate / Kill</w:t>
            </w:r>
          </w:p>
        </w:tc>
      </w:tr>
    </w:tbl>
    <w:p>
      <w:pPr>
        <w:spacing w:after="140" w:before="0"/>
      </w:pPr>
      <w:r>
        <w:rPr>
          <w:rFonts w:ascii="Aptos" w:cs="Aptos" w:eastAsia="Aptos" w:hAnsi="Aptos"/>
          <w:i/>
          <w:iCs/>
          <w:color w:val="5E6B78"/>
          <w:sz w:val="17"/>
          <w:szCs w:val="17"/>
        </w:rPr>
        <w:t xml:space="preserve">Product decision spine. The case progresses from an observable business outcome to a controlled product decision; no stage is treated as validated before its gate passes. (Full gate detail: Section 3, p.6. This spine is the single reference — later sections point back here rather than repeating it.)</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DFEFE7"/>
            <w:tcMar>
              <w:top w:type="dxa" w:w="110"/>
              <w:left w:type="dxa" w:w="160"/>
              <w:bottom w:type="dxa" w:w="110"/>
              <w:right w:type="dxa" w:w="160"/>
            </w:tcMar>
          </w:tcPr>
          <w:p>
            <w:pPr>
              <w:spacing w:after="0" w:line="254"/>
            </w:pPr>
            <w:r>
              <w:rPr>
                <w:rFonts w:ascii="Aptos" w:cs="Aptos" w:eastAsia="Aptos" w:hAnsi="Aptos"/>
                <w:b/>
                <w:bCs/>
                <w:color w:val="2A6B3B"/>
                <w:sz w:val="17"/>
                <w:szCs w:val="17"/>
              </w:rPr>
              <w:t xml:space="preserve">DECISION  </w:t>
            </w:r>
            <w:r>
              <w:rPr>
                <w:rFonts w:ascii="Aptos" w:cs="Aptos" w:eastAsia="Aptos" w:hAnsi="Aptos"/>
                <w:color w:val="17212B"/>
                <w:sz w:val="18"/>
                <w:szCs w:val="18"/>
              </w:rPr>
              <w:t xml:space="preserve">Start with the high-frequency leakage archetype only if discovery, reach, partner, and instrumentability gates pass. The intended V1 is a consented desktop Chrome extension that transparently activates an eligible cashback path without claiming cart preservation or cross-app detection.</w:t>
            </w:r>
          </w:p>
        </w:tc>
      </w:tr>
    </w:tbl>
    <w:p>
      <w:pPr>
        <w:pStyle w:val="Heading2"/>
        <w:keepNext/>
        <w:spacing w:after="90" w:before="200"/>
      </w:pPr>
      <w:r>
        <w:rPr>
          <w:rFonts w:ascii="Aptos" w:cs="Aptos" w:eastAsia="Aptos" w:hAnsi="Aptos"/>
          <w:b/>
          <w:bCs/>
          <w:color w:val="2E74B5"/>
          <w:sz w:val="23"/>
          <w:szCs w:val="23"/>
        </w:rPr>
        <w:t xml:space="preserve">What this case does and does not claim</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EEF4F8"/>
            <w:tcMar>
              <w:top w:type="dxa" w:w="110"/>
              <w:left w:type="dxa" w:w="160"/>
              <w:bottom w:type="dxa" w:w="110"/>
              <w:right w:type="dxa" w:w="160"/>
            </w:tcMar>
          </w:tcPr>
          <w:p>
            <w:pPr>
              <w:spacing w:after="0" w:line="254"/>
            </w:pPr>
            <w:r>
              <w:rPr>
                <w:rFonts w:ascii="Aptos" w:cs="Aptos" w:eastAsia="Aptos" w:hAnsi="Aptos"/>
                <w:b/>
                <w:bCs/>
                <w:color w:val="17365D"/>
                <w:sz w:val="17"/>
                <w:szCs w:val="17"/>
              </w:rPr>
              <w:t xml:space="preserve">EVIDENCE BOUNDARY  </w:t>
            </w:r>
            <w:r>
              <w:rPr>
                <w:rFonts w:ascii="Aptos" w:cs="Aptos" w:eastAsia="Aptos" w:hAnsi="Aptos"/>
                <w:color w:val="17212B"/>
                <w:sz w:val="18"/>
                <w:szCs w:val="18"/>
              </w:rPr>
              <w:t xml:space="preserve">Observable: existing users can bypass CashKaro; first-party behavior can be measured. Hypothesis: concentrated repeat behavior may indicate interceptable routing friction. To validate: late recall/restart effort, reachable eligible demand, and incremental order lift. The prior 450-user cohort is synthetic; its segment sizes and economics do not represent CashKaro.</w:t>
            </w:r>
          </w:p>
        </w:tc>
      </w:tr>
    </w:tbl>
    <w:p>
      <w:pPr>
        <w:spacing w:after="60"/>
      </w:pPr>
    </w:p>
    <w:p>
      <w:pPr>
        <w:pBdr>
          <w:left w:val="single" w:color="17365D" w:sz="12" w:space="8"/>
        </w:pBdr>
        <w:shd w:fill="F7F9FB" w:val="clear"/>
        <w:spacing w:before="100"/>
      </w:pPr>
      <w:r>
        <w:rPr>
          <w:rFonts w:ascii="Aptos" w:cs="Aptos" w:eastAsia="Aptos" w:hAnsi="Aptos"/>
          <w:b/>
          <w:bCs/>
          <w:color w:val="17365D"/>
          <w:sz w:val="15"/>
          <w:szCs w:val="15"/>
        </w:rPr>
        <w:t xml:space="preserve">LEGEND  </w:t>
      </w:r>
      <w:r>
        <w:rPr>
          <w:rFonts w:ascii="Aptos" w:cs="Aptos" w:eastAsia="Aptos" w:hAnsi="Aptos"/>
          <w:color w:val="5E6B78"/>
          <w:sz w:val="15"/>
          <w:szCs w:val="15"/>
        </w:rPr>
        <w:t xml:space="preserve">Blue boxes = context &amp; decisions in view. Green = a decision made. Yellow = a guardrail or heuristic. Red = a risk or safety rule.</w:t>
      </w:r>
    </w:p>
    <w:p>
      <w:pPr>
        <w:spacing w:after="120"/>
      </w:pPr>
    </w:p>
    <w:p>
      <w:pPr>
        <w:pStyle w:val="Heading2"/>
        <w:keepNext/>
        <w:spacing w:after="90" w:before="0"/>
      </w:pPr>
      <w:r>
        <w:rPr>
          <w:rFonts w:ascii="Aptos" w:cs="Aptos" w:eastAsia="Aptos" w:hAnsi="Aptos"/>
          <w:b/>
          <w:bCs/>
          <w:color w:val="2E74B5"/>
          <w:sz w:val="23"/>
          <w:szCs w:val="23"/>
        </w:rPr>
        <w:t xml:space="preserve">Case structure at a glance</w:t>
      </w:r>
    </w:p>
    <w:tbl>
      <w:tblPr>
        <w:tblW w:type="dxa" w:w="9994"/>
        <w:tblBorders>
          <w:top w:val="none"/>
          <w:left w:val="none"/>
          <w:bottom w:val="none"/>
          <w:right w:val="none"/>
          <w:insideH w:val="none"/>
          <w:insideV w:val="none"/>
        </w:tblBorders>
      </w:tblPr>
      <w:tblGrid>
        <w:gridCol w:w="100"/>
        <w:gridCol w:w="100"/>
      </w:tblGrid>
      <w:tr>
        <w:tc>
          <w:tcPr>
            <w:tcW w:type="dxa" w:w="4977"/>
            <w:shd w:fill="EEF4F8"/>
            <w:tcMar>
              <w:top w:type="dxa" w:w="130"/>
              <w:left w:type="dxa" w:w="160"/>
              <w:bottom w:type="dxa" w:w="130"/>
              <w:right w:type="dxa" w:w="160"/>
            </w:tcMar>
          </w:tcPr>
          <w:p>
            <w:pPr>
              <w:spacing w:after="90"/>
            </w:pPr>
            <w:r>
              <w:rPr>
                <w:rFonts w:ascii="Aptos" w:cs="Aptos" w:eastAsia="Aptos" w:hAnsi="Aptos"/>
                <w:b/>
                <w:bCs/>
                <w:color w:val="17365D"/>
                <w:sz w:val="17"/>
                <w:szCs w:val="17"/>
              </w:rPr>
              <w:t xml:space="preserve">PROBLEM SPACE  ·  pp. 3–7</w:t>
            </w:r>
          </w:p>
          <w:p>
            <w:pPr>
              <w:pStyle w:val="ListParagraph"/>
              <w:numPr>
                <w:ilvl w:val="0"/>
                <w:numId w:val="1"/>
              </w:numPr>
              <w:spacing w:after="50" w:line="230"/>
            </w:pPr>
            <w:r>
              <w:rPr>
                <w:rFonts w:ascii="Aptos" w:cs="Aptos" w:eastAsia="Aptos" w:hAnsi="Aptos"/>
                <w:color w:val="17212B"/>
                <w:sz w:val="14"/>
                <w:szCs w:val="14"/>
              </w:rPr>
              <w:t xml:space="preserve">Frame the problem correctly</w:t>
            </w:r>
          </w:p>
          <w:p>
            <w:pPr>
              <w:pStyle w:val="ListParagraph"/>
              <w:numPr>
                <w:ilvl w:val="0"/>
                <w:numId w:val="1"/>
              </w:numPr>
              <w:spacing w:after="50" w:line="230"/>
            </w:pPr>
            <w:r>
              <w:rPr>
                <w:rFonts w:ascii="Aptos" w:cs="Aptos" w:eastAsia="Aptos" w:hAnsi="Aptos"/>
                <w:color w:val="17212B"/>
                <w:sz w:val="14"/>
                <w:szCs w:val="14"/>
              </w:rPr>
              <w:t xml:space="preserve">Segment behaviors, not causes-as-facts</w:t>
            </w:r>
          </w:p>
          <w:p>
            <w:pPr>
              <w:pStyle w:val="ListParagraph"/>
              <w:numPr>
                <w:ilvl w:val="0"/>
                <w:numId w:val="1"/>
              </w:numPr>
              <w:spacing w:after="50" w:line="230"/>
            </w:pPr>
            <w:r>
              <w:rPr>
                <w:rFonts w:ascii="Aptos" w:cs="Aptos" w:eastAsia="Aptos" w:hAnsi="Aptos"/>
                <w:color w:val="17212B"/>
                <w:sz w:val="14"/>
                <w:szCs w:val="14"/>
              </w:rPr>
              <w:t xml:space="preserve">Prioritize across candidate directions</w:t>
            </w:r>
          </w:p>
          <w:p>
            <w:pPr>
              <w:pStyle w:val="ListParagraph"/>
              <w:numPr>
                <w:ilvl w:val="0"/>
                <w:numId w:val="1"/>
              </w:numPr>
              <w:spacing w:after="50" w:line="230"/>
            </w:pPr>
            <w:r>
              <w:rPr>
                <w:rFonts w:ascii="Aptos" w:cs="Aptos" w:eastAsia="Aptos" w:hAnsi="Aptos"/>
                <w:color w:val="17212B"/>
                <w:sz w:val="14"/>
                <w:szCs w:val="14"/>
              </w:rPr>
              <w:t xml:space="preserve">Validation gates G1 → G4</w:t>
            </w:r>
          </w:p>
          <w:p>
            <w:pPr>
              <w:pStyle w:val="ListParagraph"/>
              <w:numPr>
                <w:ilvl w:val="0"/>
                <w:numId w:val="1"/>
              </w:numPr>
              <w:spacing w:after="50" w:line="230"/>
            </w:pPr>
            <w:r>
              <w:rPr>
                <w:rFonts w:ascii="Aptos" w:cs="Aptos" w:eastAsia="Aptos" w:hAnsi="Aptos"/>
                <w:color w:val="17212B"/>
                <w:sz w:val="14"/>
                <w:szCs w:val="14"/>
              </w:rPr>
              <w:t xml:space="preserve">"What would change my mind?"</w:t>
            </w:r>
          </w:p>
        </w:tc>
        <w:tc>
          <w:tcPr>
            <w:tcW w:type="dxa" w:w="4977"/>
            <w:shd w:fill="DFEFE7"/>
            <w:tcMar>
              <w:top w:type="dxa" w:w="130"/>
              <w:left w:type="dxa" w:w="160"/>
              <w:bottom w:type="dxa" w:w="130"/>
              <w:right w:type="dxa" w:w="160"/>
            </w:tcMar>
          </w:tcPr>
          <w:p>
            <w:pPr>
              <w:spacing w:after="90"/>
            </w:pPr>
            <w:r>
              <w:rPr>
                <w:rFonts w:ascii="Aptos" w:cs="Aptos" w:eastAsia="Aptos" w:hAnsi="Aptos"/>
                <w:b/>
                <w:bCs/>
                <w:color w:val="2A6B3B"/>
                <w:sz w:val="17"/>
                <w:szCs w:val="17"/>
              </w:rPr>
              <w:t xml:space="preserve">SOLUTION SPACE  ·  pp. 7–13</w:t>
            </w:r>
          </w:p>
          <w:p>
            <w:pPr>
              <w:pStyle w:val="ListParagraph"/>
              <w:numPr>
                <w:ilvl w:val="0"/>
                <w:numId w:val="1"/>
              </w:numPr>
              <w:spacing w:after="50" w:line="230"/>
            </w:pPr>
            <w:r>
              <w:rPr>
                <w:rFonts w:ascii="Aptos" w:cs="Aptos" w:eastAsia="Aptos" w:hAnsi="Aptos"/>
                <w:color w:val="17212B"/>
                <w:sz w:val="14"/>
                <w:szCs w:val="14"/>
              </w:rPr>
              <w:t xml:space="preserve">Product decision: the Intent Router</w:t>
            </w:r>
          </w:p>
          <w:p>
            <w:pPr>
              <w:pStyle w:val="ListParagraph"/>
              <w:numPr>
                <w:ilvl w:val="0"/>
                <w:numId w:val="1"/>
              </w:numPr>
              <w:spacing w:after="50" w:line="230"/>
            </w:pPr>
            <w:r>
              <w:rPr>
                <w:rFonts w:ascii="Aptos" w:cs="Aptos" w:eastAsia="Aptos" w:hAnsi="Aptos"/>
                <w:color w:val="17212B"/>
                <w:sz w:val="14"/>
                <w:szCs w:val="14"/>
              </w:rPr>
              <w:t xml:space="preserve">V1 spec, UX flow, and architecture</w:t>
            </w:r>
          </w:p>
          <w:p>
            <w:pPr>
              <w:pStyle w:val="ListParagraph"/>
              <w:numPr>
                <w:ilvl w:val="0"/>
                <w:numId w:val="1"/>
              </w:numPr>
              <w:spacing w:after="50" w:line="230"/>
            </w:pPr>
            <w:r>
              <w:rPr>
                <w:rFonts w:ascii="Aptos" w:cs="Aptos" w:eastAsia="Aptos" w:hAnsi="Aptos"/>
                <w:color w:val="17212B"/>
                <w:sz w:val="14"/>
                <w:szCs w:val="14"/>
              </w:rPr>
              <w:t xml:space="preserve">Measurement &amp; experiment design</w:t>
            </w:r>
          </w:p>
          <w:p>
            <w:pPr>
              <w:pStyle w:val="ListParagraph"/>
              <w:numPr>
                <w:ilvl w:val="0"/>
                <w:numId w:val="1"/>
              </w:numPr>
              <w:spacing w:after="50" w:line="230"/>
            </w:pPr>
            <w:r>
              <w:rPr>
                <w:rFonts w:ascii="Aptos" w:cs="Aptos" w:eastAsia="Aptos" w:hAnsi="Aptos"/>
                <w:color w:val="17212B"/>
                <w:sz w:val="14"/>
                <w:szCs w:val="14"/>
              </w:rPr>
              <w:t xml:space="preserve">Economics &amp; decision rules</w:t>
            </w:r>
          </w:p>
          <w:p>
            <w:pPr>
              <w:pStyle w:val="ListParagraph"/>
              <w:numPr>
                <w:ilvl w:val="0"/>
                <w:numId w:val="1"/>
              </w:numPr>
              <w:spacing w:after="50" w:line="230"/>
            </w:pPr>
            <w:r>
              <w:rPr>
                <w:rFonts w:ascii="Aptos" w:cs="Aptos" w:eastAsia="Aptos" w:hAnsi="Aptos"/>
                <w:color w:val="17212B"/>
                <w:sz w:val="14"/>
                <w:szCs w:val="14"/>
              </w:rPr>
              <w:t xml:space="preserve">Operating model, risks, final decision</w:t>
            </w:r>
          </w:p>
        </w:tc>
      </w:tr>
    </w:tbl>
    <w:p>
      <w:r>
        <w:br w:type="page"/>
      </w:r>
    </w:p>
    <w:p>
      <w:pPr>
        <w:pStyle w:val="Heading1"/>
        <w:keepNext/>
        <w:spacing w:after="140" w:before="260"/>
      </w:pPr>
      <w:r>
        <w:rPr>
          <w:rFonts w:ascii="Aptos" w:cs="Aptos" w:eastAsia="Aptos" w:hAnsi="Aptos"/>
          <w:b/>
          <w:bCs/>
          <w:color w:val="17365D"/>
          <w:sz w:val="31"/>
          <w:szCs w:val="31"/>
        </w:rPr>
        <w:t xml:space="preserve">1. Frame the problem correctly</w:t>
      </w:r>
    </w:p>
    <w:p>
      <w:pPr>
        <w:spacing w:after="120" w:before="0" w:line="264"/>
      </w:pPr>
      <w:r>
        <w:rPr>
          <w:rFonts w:ascii="Aptos" w:cs="Aptos" w:eastAsia="Aptos" w:hAnsi="Aptos"/>
          <w:color w:val="17212B"/>
          <w:sz w:val="20"/>
          <w:szCs w:val="20"/>
        </w:rPr>
        <w:t xml:space="preserve">"Existing-user leakage" is an outcome, not a diagnosis. A generic reminder could lift clicks while merely shifting a journey CashKaro would already receive. The product must first locate a specific, measurable failure mode.</w:t>
      </w:r>
    </w:p>
    <w:p>
      <w:pPr>
        <w:pStyle w:val="Heading2"/>
        <w:keepNext/>
        <w:spacing w:after="90" w:before="200"/>
      </w:pPr>
      <w:r>
        <w:rPr>
          <w:rFonts w:ascii="Aptos" w:cs="Aptos" w:eastAsia="Aptos" w:hAnsi="Aptos"/>
          <w:b/>
          <w:bCs/>
          <w:color w:val="2E74B5"/>
          <w:sz w:val="23"/>
          <w:szCs w:val="23"/>
        </w:rPr>
        <w:t xml:space="preserve">Shopping journey: leakage is non-linear</w:t>
      </w:r>
    </w:p>
    <w:p>
      <w:pPr>
        <w:spacing w:after="120" w:before="0" w:line="264"/>
      </w:pPr>
      <w:r>
        <w:rPr>
          <w:rFonts w:ascii="Aptos" w:cs="Aptos" w:eastAsia="Aptos" w:hAnsi="Aptos"/>
          <w:color w:val="5E6B78"/>
          <w:sz w:val="19"/>
          <w:szCs w:val="19"/>
        </w:rPr>
        <w:t xml:space="preserve">Users can enter at different moments, return after comparison, or abandon after a trust event. The same direct order can be reached through different paths.</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gridCol w:w="100"/>
        <w:gridCol w:w="100"/>
      </w:tblGrid>
      <w:tr>
        <w:trPr>
          <w:cantSplit/>
          <w:tblHeader/>
        </w:trPr>
        <w:tc>
          <w:tcPr>
            <w:tcW w:type="dxa" w:w="1999"/>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Need / discovery</w:t>
            </w:r>
          </w:p>
        </w:tc>
        <w:tc>
          <w:tcPr>
            <w:tcW w:type="dxa" w:w="1999"/>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Compare retailers</w:t>
            </w:r>
          </w:p>
        </w:tc>
        <w:tc>
          <w:tcPr>
            <w:tcW w:type="dxa" w:w="1999"/>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Retailer / cart</w:t>
            </w:r>
          </w:p>
        </w:tc>
        <w:tc>
          <w:tcPr>
            <w:tcW w:type="dxa" w:w="1999"/>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Purchase</w:t>
            </w:r>
          </w:p>
        </w:tc>
        <w:tc>
          <w:tcPr>
            <w:tcW w:type="dxa" w:w="1998"/>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Cashback confidence</w:t>
            </w:r>
          </w:p>
        </w:tc>
      </w:tr>
      <w:tr>
        <w:trPr>
          <w:cantSplit/>
        </w:trPr>
        <w:tc>
          <w:tcPr>
            <w:tcW w:type="dxa" w:w="199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Direct retailer entry</w:t>
            </w:r>
          </w:p>
        </w:tc>
        <w:tc>
          <w:tcPr>
            <w:tcW w:type="dxa" w:w="199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Back to comparison</w:t>
            </w:r>
          </w:p>
        </w:tc>
        <w:tc>
          <w:tcPr>
            <w:tcW w:type="dxa" w:w="199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Late recall / restart cost</w:t>
            </w:r>
          </w:p>
        </w:tc>
        <w:tc>
          <w:tcPr>
            <w:tcW w:type="dxa" w:w="199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Tracking failure</w:t>
            </w:r>
          </w:p>
        </w:tc>
        <w:tc>
          <w:tcPr>
            <w:tcW w:type="dxa" w:w="1998"/>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Trust drop → future bypass</w:t>
            </w:r>
          </w:p>
        </w:tc>
      </w:tr>
    </w:tbl>
    <w:p>
      <w:pPr>
        <w:spacing w:after="140" w:before="0"/>
      </w:pPr>
      <w:r>
        <w:rPr>
          <w:rFonts w:ascii="Aptos" w:cs="Aptos" w:eastAsia="Aptos" w:hAnsi="Aptos"/>
          <w:i/>
          <w:iCs/>
          <w:color w:val="5E6B78"/>
          <w:sz w:val="17"/>
          <w:szCs w:val="17"/>
        </w:rPr>
        <w:t xml:space="preserve">Figure 1. The opportunity is not a linear funnel; the router targets one proposed failure mode at the retailer/cart moment.</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tblGrid>
      <w:tr>
        <w:trPr>
          <w:cantSplit/>
          <w:tblHeader/>
        </w:trPr>
        <w:tc>
          <w:tcPr>
            <w:tcW w:type="dxa" w:w="2245"/>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Leakage moment</w:t>
            </w:r>
          </w:p>
        </w:tc>
        <w:tc>
          <w:tcPr>
            <w:tcW w:type="dxa" w:w="2969"/>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Candidate root cause</w:t>
            </w:r>
          </w:p>
        </w:tc>
        <w:tc>
          <w:tcPr>
            <w:tcW w:type="dxa" w:w="478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Evidence before build</w:t>
            </w:r>
          </w:p>
        </w:tc>
      </w:tr>
      <w:tr>
        <w:trPr>
          <w:cantSplit/>
        </w:trPr>
        <w:tc>
          <w:tcPr>
            <w:tcW w:type="dxa" w:w="224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CashKaro is never considered</w:t>
            </w:r>
          </w:p>
        </w:tc>
        <w:tc>
          <w:tcPr>
            <w:tcW w:type="dxa" w:w="296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Default retailer habit; weak discovery/value</w:t>
            </w:r>
          </w:p>
        </w:tc>
        <w:tc>
          <w:tcPr>
            <w:tcW w:type="dxa" w:w="478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Recent-purchase reconstruction; direct navigation versus CashKaro entry.</w:t>
            </w:r>
          </w:p>
        </w:tc>
      </w:tr>
      <w:tr>
        <w:trPr>
          <w:cantSplit/>
        </w:trPr>
        <w:tc>
          <w:tcPr>
            <w:tcW w:type="dxa" w:w="224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User knows CashKaro but continues</w:t>
            </w:r>
          </w:p>
        </w:tc>
        <w:tc>
          <w:tcPr>
            <w:tcW w:type="dxa" w:w="296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SELECTED TESTABLE MECHANISM: late recall / restart friction; eligibility uncertainty.</w:t>
            </w:r>
          </w:p>
        </w:tc>
        <w:tc>
          <w:tcPr>
            <w:tcW w:type="dxa" w:w="478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Moment-of-recall, abandonment reason, supported retailer/device mix.</w:t>
            </w:r>
          </w:p>
        </w:tc>
      </w:tr>
      <w:tr>
        <w:trPr>
          <w:cantSplit/>
        </w:trPr>
        <w:tc>
          <w:tcPr>
            <w:tcW w:type="dxa" w:w="224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User stopped after prior use</w:t>
            </w:r>
          </w:p>
        </w:tc>
        <w:tc>
          <w:tcPr>
            <w:tcW w:type="dxa" w:w="296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Tracking/payout experience; value decay</w:t>
            </w:r>
          </w:p>
        </w:tc>
        <w:tc>
          <w:tcPr>
            <w:tcW w:type="dxa" w:w="478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Matched event study; support and claims history.</w:t>
            </w:r>
          </w:p>
        </w:tc>
      </w:tr>
      <w:tr>
        <w:trPr>
          <w:cantSplit/>
        </w:trPr>
        <w:tc>
          <w:tcPr>
            <w:tcW w:type="dxa" w:w="224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Activation but no tracked order</w:t>
            </w:r>
          </w:p>
        </w:tc>
        <w:tc>
          <w:tcPr>
            <w:tcW w:type="dxa" w:w="296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Attribution, eligibility, or technical failure</w:t>
            </w:r>
          </w:p>
        </w:tc>
        <w:tc>
          <w:tcPr>
            <w:tcW w:type="dxa" w:w="478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Postback reconciliation and retailer-level tracking outcomes.</w:t>
            </w:r>
          </w:p>
        </w:tc>
      </w:tr>
    </w:tbl>
    <w:p>
      <w:r>
        <w:br w:type="page"/>
      </w:r>
    </w:p>
    <w:p>
      <w:pPr>
        <w:pStyle w:val="Heading1"/>
        <w:keepNext/>
        <w:spacing w:after="140" w:before="260"/>
      </w:pPr>
      <w:r>
        <w:rPr>
          <w:rFonts w:ascii="Aptos" w:cs="Aptos" w:eastAsia="Aptos" w:hAnsi="Aptos"/>
          <w:b/>
          <w:bCs/>
          <w:color w:val="17365D"/>
          <w:sz w:val="31"/>
          <w:szCs w:val="31"/>
        </w:rPr>
        <w:t xml:space="preserve">2. Segment behaviors; do not label causes as facts</w:t>
      </w:r>
    </w:p>
    <w:p>
      <w:pPr>
        <w:spacing w:after="120" w:before="0" w:line="264"/>
      </w:pPr>
      <w:r>
        <w:rPr>
          <w:rFonts w:ascii="Aptos" w:cs="Aptos" w:eastAsia="Aptos" w:hAnsi="Aptos"/>
          <w:color w:val="17212B"/>
          <w:sz w:val="20"/>
          <w:szCs w:val="20"/>
        </w:rPr>
        <w:t xml:space="preserve">Production segmentation should use consented first-party data and a pre-registered rule set: 12-month frequency, recency, retailer/category concentration, device mix, and support/tracking history. The archetypes below describe patterns, not proven motivations.</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gridCol w:w="100"/>
        <w:gridCol w:w="100"/>
      </w:tblGrid>
      <w:tr>
        <w:trPr>
          <w:cantSplit/>
          <w:tblHeader/>
        </w:trPr>
        <w:tc>
          <w:tcPr>
            <w:tcW w:type="dxa" w:w="1521"/>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Archetype</w:t>
            </w:r>
          </w:p>
        </w:tc>
        <w:tc>
          <w:tcPr>
            <w:tcW w:type="dxa" w:w="2288"/>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OBSERVED</w:t>
            </w:r>
          </w:p>
        </w:tc>
        <w:tc>
          <w:tcPr>
            <w:tcW w:type="dxa" w:w="1883"/>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HYPOTHESIS</w:t>
            </w:r>
          </w:p>
        </w:tc>
        <w:tc>
          <w:tcPr>
            <w:tcW w:type="dxa" w:w="1666"/>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RESPONSE</w:t>
            </w:r>
          </w:p>
        </w:tc>
        <w:tc>
          <w:tcPr>
            <w:tcW w:type="dxa" w:w="2636"/>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EVIDENCE NEEDED</w:t>
            </w:r>
          </w:p>
        </w:tc>
      </w:tr>
      <w:tr>
        <w:trPr>
          <w:cantSplit/>
        </w:trPr>
        <w:tc>
          <w:tcPr>
            <w:tcW w:type="dxa" w:w="1521"/>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High-frequency leakage</w:t>
            </w:r>
          </w:p>
        </w:tc>
        <w:tc>
          <w:tcPr>
            <w:tcW w:type="dxa" w:w="2288"/>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Repeat tracked orders; recent activity; concentrated retailer/category behavior.</w:t>
            </w:r>
          </w:p>
        </w:tc>
        <w:tc>
          <w:tcPr>
            <w:tcW w:type="dxa" w:w="1883"/>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CashKaro is valued but not routed at retailer intent.</w:t>
            </w:r>
          </w:p>
        </w:tc>
        <w:tc>
          <w:tcPr>
            <w:tcW w:type="dxa" w:w="1666"/>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Validate Intent Router.</w:t>
            </w:r>
          </w:p>
        </w:tc>
        <w:tc>
          <w:tcPr>
            <w:tcW w:type="dxa" w:w="2636"/>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Late recall/restart effort + incremental response.</w:t>
            </w:r>
          </w:p>
        </w:tc>
      </w:tr>
      <w:tr>
        <w:trPr>
          <w:cantSplit/>
        </w:trPr>
        <w:tc>
          <w:tcPr>
            <w:tcW w:type="dxa" w:w="1521"/>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Declining users</w:t>
            </w:r>
          </w:p>
        </w:tc>
        <w:tc>
          <w:tcPr>
            <w:tcW w:type="dxa" w:w="2288"/>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Prior activity declines; possible tracking/payout/support events.</w:t>
            </w:r>
          </w:p>
        </w:tc>
        <w:tc>
          <w:tcPr>
            <w:tcW w:type="dxa" w:w="1883"/>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Trust or perceived value declined after a negative experience.</w:t>
            </w:r>
          </w:p>
        </w:tc>
        <w:tc>
          <w:tcPr>
            <w:tcW w:type="dxa" w:w="1666"/>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Trust discovery + matched analysis.</w:t>
            </w:r>
          </w:p>
        </w:tc>
        <w:tc>
          <w:tcPr>
            <w:tcW w:type="dxa" w:w="2636"/>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Proposed historical trust analysis: matched users with/without a documented failure.</w:t>
            </w:r>
          </w:p>
        </w:tc>
      </w:tr>
      <w:tr>
        <w:trPr>
          <w:cantSplit/>
        </w:trPr>
        <w:tc>
          <w:tcPr>
            <w:tcW w:type="dxa" w:w="1521"/>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Low-adoption users</w:t>
            </w:r>
          </w:p>
        </w:tc>
        <w:tc>
          <w:tcPr>
            <w:tcW w:type="dxa" w:w="2288"/>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Persistently low use regardless of recency.</w:t>
            </w:r>
          </w:p>
        </w:tc>
        <w:tc>
          <w:tcPr>
            <w:tcW w:type="dxa" w:w="1883"/>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A CashKaro habit was never established.</w:t>
            </w:r>
          </w:p>
        </w:tc>
        <w:tc>
          <w:tcPr>
            <w:tcW w:type="dxa" w:w="1666"/>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Discovery/value research.</w:t>
            </w:r>
          </w:p>
        </w:tc>
        <w:tc>
          <w:tcPr>
            <w:tcW w:type="dxa" w:w="2636"/>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Starting-surface and value-understanding evidence.</w:t>
            </w:r>
          </w:p>
        </w:tc>
      </w:tr>
    </w:tbl>
    <w:p>
      <w:pPr>
        <w:spacing w:after="60"/>
      </w:pP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EEF4F8"/>
            <w:tcMar>
              <w:top w:type="dxa" w:w="110"/>
              <w:left w:type="dxa" w:w="160"/>
              <w:bottom w:type="dxa" w:w="110"/>
              <w:right w:type="dxa" w:w="160"/>
            </w:tcMar>
          </w:tcPr>
          <w:p>
            <w:pPr>
              <w:spacing w:after="0" w:line="254"/>
            </w:pPr>
            <w:r>
              <w:rPr>
                <w:rFonts w:ascii="Aptos" w:cs="Aptos" w:eastAsia="Aptos" w:hAnsi="Aptos"/>
                <w:b/>
                <w:bCs/>
                <w:color w:val="17365D"/>
                <w:sz w:val="17"/>
                <w:szCs w:val="17"/>
              </w:rPr>
              <w:t xml:space="preserve">TARGET ≠ EXPERIMENT POPULATION  </w:t>
            </w:r>
            <w:r>
              <w:rPr>
                <w:rFonts w:ascii="Aptos" w:cs="Aptos" w:eastAsia="Aptos" w:hAnsi="Aptos"/>
                <w:color w:val="17212B"/>
                <w:sz w:val="18"/>
                <w:szCs w:val="18"/>
              </w:rPr>
              <w:t xml:space="preserve">Target segment: validated high-frequency leakage users. Experiment-eligible population: target segment + desktop/Chrome reach + consent + eligible retailer + measurement eligibility. The archetypes describe behavioral patterns, not proven motivations. The retained synthetic cohort demonstrates operationalization only; it does not size CashKaro segments, forecast revenue, or approve investment.</w:t>
            </w:r>
          </w:p>
        </w:tc>
      </w:tr>
    </w:tbl>
    <w:p>
      <w:pPr>
        <w:spacing w:after="60" w:before="100"/>
      </w:pPr>
      <w:r>
        <w:rPr>
          <w:rFonts w:ascii="Aptos" w:cs="Aptos" w:eastAsia="Aptos" w:hAnsi="Aptos"/>
          <w:i/>
          <w:iCs/>
          <w:color w:val="17365D"/>
          <w:sz w:val="18"/>
          <w:szCs w:val="18"/>
        </w:rPr>
        <w:t xml:space="preserve">Selection principle: high-frequency leakage is selected because it offers the cleanest reversible learning loop, not because it is assumed to be the largest opportunity.</w:t>
      </w:r>
    </w:p>
    <w:p>
      <w:pPr>
        <w:spacing w:after="80"/>
      </w:pPr>
      <w:r>
        <w:rPr>
          <w:rFonts w:ascii="Aptos" w:cs="Aptos" w:eastAsia="Aptos" w:hAnsi="Aptos"/>
          <w:b/>
          <w:bCs/>
          <w:color w:val="17365D"/>
          <w:sz w:val="16"/>
          <w:szCs w:val="16"/>
        </w:rPr>
        <w:t xml:space="preserve">QUALITATIVE PRIORITIZATION LENS</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gridCol w:w="100"/>
        <w:gridCol w:w="100"/>
      </w:tblGrid>
      <w:tr>
        <w:trPr>
          <w:cantSplit/>
        </w:trPr>
        <w:tc>
          <w:tcPr>
            <w:tcW w:type="dxa" w:w="1998"/>
            <w:shd w:fill="E8F3FA"/>
            <w:tcMar>
              <w:top w:type="dxa" w:w="80"/>
              <w:left w:type="dxa" w:w="100"/>
              <w:bottom w:type="dxa" w:w="80"/>
              <w:right w:type="dxa" w:w="100"/>
            </w:tcMar>
          </w:tcPr>
          <w:p>
            <w:pPr>
              <w:spacing w:after="0" w:line="220"/>
              <w:jc w:val="center"/>
            </w:pPr>
            <w:r>
              <w:rPr>
                <w:rFonts w:ascii="Aptos" w:cs="Aptos" w:eastAsia="Aptos" w:hAnsi="Aptos"/>
                <w:b/>
                <w:bCs/>
                <w:color w:val="17365D"/>
                <w:sz w:val="13"/>
                <w:szCs w:val="13"/>
              </w:rPr>
              <w:t xml:space="preserve">User value</w:t>
            </w:r>
          </w:p>
        </w:tc>
        <w:tc>
          <w:tcPr>
            <w:tcW w:type="dxa" w:w="1998"/>
            <w:shd w:fill="E8F3FA"/>
            <w:tcMar>
              <w:top w:type="dxa" w:w="80"/>
              <w:left w:type="dxa" w:w="100"/>
              <w:bottom w:type="dxa" w:w="80"/>
              <w:right w:type="dxa" w:w="100"/>
            </w:tcMar>
          </w:tcPr>
          <w:p>
            <w:pPr>
              <w:spacing w:after="0" w:line="220"/>
              <w:jc w:val="center"/>
            </w:pPr>
            <w:r>
              <w:rPr>
                <w:rFonts w:ascii="Aptos" w:cs="Aptos" w:eastAsia="Aptos" w:hAnsi="Aptos"/>
                <w:b/>
                <w:bCs/>
                <w:color w:val="17365D"/>
                <w:sz w:val="13"/>
                <w:szCs w:val="13"/>
              </w:rPr>
              <w:t xml:space="preserve">Business value</w:t>
            </w:r>
          </w:p>
        </w:tc>
        <w:tc>
          <w:tcPr>
            <w:tcW w:type="dxa" w:w="1998"/>
            <w:shd w:fill="E8F3FA"/>
            <w:tcMar>
              <w:top w:type="dxa" w:w="80"/>
              <w:left w:type="dxa" w:w="100"/>
              <w:bottom w:type="dxa" w:w="80"/>
              <w:right w:type="dxa" w:w="100"/>
            </w:tcMar>
          </w:tcPr>
          <w:p>
            <w:pPr>
              <w:spacing w:after="0" w:line="220"/>
              <w:jc w:val="center"/>
            </w:pPr>
            <w:r>
              <w:rPr>
                <w:rFonts w:ascii="Aptos" w:cs="Aptos" w:eastAsia="Aptos" w:hAnsi="Aptos"/>
                <w:b/>
                <w:bCs/>
                <w:color w:val="17365D"/>
                <w:sz w:val="13"/>
                <w:szCs w:val="13"/>
              </w:rPr>
              <w:t xml:space="preserve">Causal confidence</w:t>
            </w:r>
          </w:p>
        </w:tc>
        <w:tc>
          <w:tcPr>
            <w:tcW w:type="dxa" w:w="1998"/>
            <w:shd w:fill="E8F3FA"/>
            <w:tcMar>
              <w:top w:type="dxa" w:w="80"/>
              <w:left w:type="dxa" w:w="100"/>
              <w:bottom w:type="dxa" w:w="80"/>
              <w:right w:type="dxa" w:w="100"/>
            </w:tcMar>
          </w:tcPr>
          <w:p>
            <w:pPr>
              <w:spacing w:after="0" w:line="220"/>
              <w:jc w:val="center"/>
            </w:pPr>
            <w:r>
              <w:rPr>
                <w:rFonts w:ascii="Aptos" w:cs="Aptos" w:eastAsia="Aptos" w:hAnsi="Aptos"/>
                <w:b/>
                <w:bCs/>
                <w:color w:val="17365D"/>
                <w:sz w:val="13"/>
                <w:szCs w:val="13"/>
              </w:rPr>
              <w:t xml:space="preserve">Addressability</w:t>
            </w:r>
          </w:p>
        </w:tc>
        <w:tc>
          <w:tcPr>
            <w:tcW w:type="dxa" w:w="1998"/>
            <w:shd w:fill="E8F3FA"/>
            <w:tcMar>
              <w:top w:type="dxa" w:w="80"/>
              <w:left w:type="dxa" w:w="100"/>
              <w:bottom w:type="dxa" w:w="80"/>
              <w:right w:type="dxa" w:w="100"/>
            </w:tcMar>
          </w:tcPr>
          <w:p>
            <w:pPr>
              <w:spacing w:after="0" w:line="220"/>
              <w:jc w:val="center"/>
            </w:pPr>
            <w:r>
              <w:rPr>
                <w:rFonts w:ascii="Aptos" w:cs="Aptos" w:eastAsia="Aptos" w:hAnsi="Aptos"/>
                <w:b/>
                <w:bCs/>
                <w:color w:val="17365D"/>
                <w:sz w:val="13"/>
                <w:szCs w:val="13"/>
              </w:rPr>
              <w:t xml:space="preserve">Measurement clarity</w:t>
            </w:r>
          </w:p>
        </w:tc>
      </w:tr>
    </w:tbl>
    <w:p>
      <w:pPr>
        <w:spacing w:after="70"/>
      </w:pP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gridCol w:w="100"/>
      </w:tblGrid>
      <w:tr>
        <w:trPr>
          <w:cantSplit/>
        </w:trPr>
        <w:tc>
          <w:tcPr>
            <w:tcW w:type="dxa" w:w="2498"/>
            <w:shd w:fill="E8F3FA"/>
            <w:tcMar>
              <w:top w:type="dxa" w:w="80"/>
              <w:left w:type="dxa" w:w="100"/>
              <w:bottom w:type="dxa" w:w="80"/>
              <w:right w:type="dxa" w:w="100"/>
            </w:tcMar>
          </w:tcPr>
          <w:p>
            <w:pPr>
              <w:spacing w:after="0" w:line="220"/>
              <w:jc w:val="center"/>
            </w:pPr>
            <w:r>
              <w:rPr>
                <w:rFonts w:ascii="Aptos" w:cs="Aptos" w:eastAsia="Aptos" w:hAnsi="Aptos"/>
                <w:b/>
                <w:bCs/>
                <w:color w:val="17365D"/>
                <w:sz w:val="13"/>
                <w:szCs w:val="13"/>
              </w:rPr>
              <w:t xml:space="preserve">Feasibility</w:t>
            </w:r>
          </w:p>
        </w:tc>
        <w:tc>
          <w:tcPr>
            <w:tcW w:type="dxa" w:w="2498"/>
            <w:shd w:fill="E8F3FA"/>
            <w:tcMar>
              <w:top w:type="dxa" w:w="80"/>
              <w:left w:type="dxa" w:w="100"/>
              <w:bottom w:type="dxa" w:w="80"/>
              <w:right w:type="dxa" w:w="100"/>
            </w:tcMar>
          </w:tcPr>
          <w:p>
            <w:pPr>
              <w:spacing w:after="0" w:line="220"/>
              <w:jc w:val="center"/>
            </w:pPr>
            <w:r>
              <w:rPr>
                <w:rFonts w:ascii="Aptos" w:cs="Aptos" w:eastAsia="Aptos" w:hAnsi="Aptos"/>
                <w:b/>
                <w:bCs/>
                <w:color w:val="17365D"/>
                <w:sz w:val="13"/>
                <w:szCs w:val="13"/>
              </w:rPr>
              <w:t xml:space="preserve">Reversibility</w:t>
            </w:r>
          </w:p>
        </w:tc>
        <w:tc>
          <w:tcPr>
            <w:tcW w:type="dxa" w:w="2498"/>
            <w:shd w:fill="E8F3FA"/>
            <w:tcMar>
              <w:top w:type="dxa" w:w="80"/>
              <w:left w:type="dxa" w:w="100"/>
              <w:bottom w:type="dxa" w:w="80"/>
              <w:right w:type="dxa" w:w="100"/>
            </w:tcMar>
          </w:tcPr>
          <w:p>
            <w:pPr>
              <w:spacing w:after="0" w:line="220"/>
              <w:jc w:val="center"/>
            </w:pPr>
            <w:r>
              <w:rPr>
                <w:rFonts w:ascii="Aptos" w:cs="Aptos" w:eastAsia="Aptos" w:hAnsi="Aptos"/>
                <w:b/>
                <w:bCs/>
                <w:color w:val="17365D"/>
                <w:sz w:val="13"/>
                <w:szCs w:val="13"/>
              </w:rPr>
              <w:t xml:space="preserve">Partner/compliance risk</w:t>
            </w:r>
          </w:p>
        </w:tc>
        <w:tc>
          <w:tcPr>
            <w:tcW w:type="dxa" w:w="2498"/>
            <w:shd w:fill="E8F3FA"/>
            <w:tcMar>
              <w:top w:type="dxa" w:w="80"/>
              <w:left w:type="dxa" w:w="100"/>
              <w:bottom w:type="dxa" w:w="80"/>
              <w:right w:type="dxa" w:w="100"/>
            </w:tcMar>
          </w:tcPr>
          <w:p>
            <w:pPr>
              <w:spacing w:after="0" w:line="220"/>
              <w:jc w:val="center"/>
            </w:pPr>
            <w:r>
              <w:rPr>
                <w:rFonts w:ascii="Aptos" w:cs="Aptos" w:eastAsia="Aptos" w:hAnsi="Aptos"/>
                <w:b/>
                <w:bCs/>
                <w:color w:val="17365D"/>
                <w:sz w:val="13"/>
                <w:szCs w:val="13"/>
              </w:rPr>
              <w:t xml:space="preserve">Speed to learning</w:t>
            </w:r>
          </w:p>
        </w:tc>
      </w:tr>
    </w:tbl>
    <w:p>
      <w:pPr>
        <w:spacing w:after="140"/>
      </w:pPr>
    </w:p>
    <w:p>
      <w:pPr>
        <w:spacing w:after="140" w:before="0"/>
      </w:pPr>
      <w:r>
        <w:rPr>
          <w:rFonts w:ascii="Aptos" w:cs="Aptos" w:eastAsia="Aptos" w:hAnsi="Aptos"/>
          <w:i/>
          <w:iCs/>
          <w:color w:val="5E6B78"/>
          <w:sz w:val="17"/>
          <w:szCs w:val="17"/>
        </w:rPr>
        <w:t xml:space="preserve">This lens is applied explicitly on the next page to rank Intent Router against three alternative directions before committing engineering effort.</w:t>
      </w:r>
    </w:p>
    <w:p>
      <w:r>
        <w:br w:type="page"/>
      </w:r>
    </w:p>
    <w:p>
      <w:pPr>
        <w:pStyle w:val="Heading2"/>
        <w:keepNext/>
        <w:spacing w:after="90" w:before="0"/>
      </w:pPr>
      <w:r>
        <w:rPr>
          <w:rFonts w:ascii="Aptos" w:cs="Aptos" w:eastAsia="Aptos" w:hAnsi="Aptos"/>
          <w:b/>
          <w:bCs/>
          <w:color w:val="2E74B5"/>
          <w:sz w:val="23"/>
          <w:szCs w:val="23"/>
        </w:rPr>
        <w:t xml:space="preserve">Why test high-frequency leakage first?</w:t>
      </w:r>
    </w:p>
    <w:p>
      <w:pPr>
        <w:spacing w:after="120" w:before="0" w:line="264"/>
      </w:pPr>
      <w:r>
        <w:rPr>
          <w:rFonts w:ascii="Aptos" w:cs="Aptos" w:eastAsia="Aptos" w:hAnsi="Aptos"/>
          <w:color w:val="5E6B78"/>
          <w:sz w:val="19"/>
          <w:szCs w:val="19"/>
        </w:rPr>
        <w:t xml:space="preserve">I deliberately narrowed five candidate directions to three that could make a clean causal case: Intent Router, trust recovery, and a discovery assistant. A home-screen widget and share/deep-link recovery were collapsed out of the initial shortlist because they either risk generic-reminder behavior or depend on retailer- and platform-specific capability that has not yet been proven.</w:t>
      </w:r>
    </w:p>
    <w:p>
      <w:pPr>
        <w:spacing w:after="120" w:before="0" w:line="264"/>
      </w:pPr>
      <w:r>
        <w:rPr>
          <w:rFonts w:ascii="Aptos" w:cs="Aptos" w:eastAsia="Aptos" w:hAnsi="Aptos"/>
          <w:color w:val="17212B"/>
          <w:sz w:val="20"/>
          <w:szCs w:val="20"/>
        </w:rPr>
        <w:t xml:space="preserve">This is a sequencing choice, not a claim that the group is largest. If internal data confirms adequate desktop and eligible-retailer reach, it offers a testable mechanism: reroute existing intent without assuming CashKaro must create a new shopping habit or repair damaged trust.</w:t>
      </w:r>
    </w:p>
    <w:p>
      <w:pPr>
        <w:spacing w:after="140" w:line="260"/>
      </w:pPr>
      <w:r>
        <w:rPr>
          <w:rFonts w:ascii="Aptos" w:cs="Aptos" w:eastAsia="Aptos" w:hAnsi="Aptos"/>
          <w:i/>
          <w:iCs/>
          <w:color w:val="17365D"/>
          <w:sz w:val="19"/>
          <w:szCs w:val="19"/>
        </w:rPr>
        <w:t xml:space="preserve">My judgment call is to earn the right to build the smallest reversible mechanism first. If users do not independently describe late recall and restart effort, the router is the wrong answer — even if its funnel looks attractive on paper.</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gridCol w:w="100"/>
        <w:gridCol w:w="100"/>
      </w:tblGrid>
      <w:tr>
        <w:trPr>
          <w:cantSplit/>
          <w:tblHeader/>
        </w:trPr>
        <w:tc>
          <w:tcPr>
            <w:tcW w:type="dxa" w:w="165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Direction</w:t>
            </w:r>
          </w:p>
        </w:tc>
        <w:tc>
          <w:tcPr>
            <w:tcW w:type="dxa" w:w="195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Primary moment</w:t>
            </w:r>
          </w:p>
        </w:tc>
        <w:tc>
          <w:tcPr>
            <w:tcW w:type="dxa" w:w="310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Causal / measurement clarity</w:t>
            </w:r>
          </w:p>
        </w:tc>
        <w:tc>
          <w:tcPr>
            <w:tcW w:type="dxa" w:w="200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V1 suitability</w:t>
            </w:r>
          </w:p>
        </w:tc>
        <w:tc>
          <w:tcPr>
            <w:tcW w:type="dxa" w:w="1294"/>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Est. eng. effort</w:t>
            </w:r>
          </w:p>
        </w:tc>
      </w:tr>
      <w:tr>
        <w:trPr>
          <w:cantSplit/>
        </w:trPr>
        <w:tc>
          <w:tcPr>
            <w:tcW w:type="dxa" w:w="165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Intent Router</w:t>
            </w:r>
          </w:p>
        </w:tc>
        <w:tc>
          <w:tcPr>
            <w:tcW w:type="dxa" w:w="195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Eligible retailer intent.</w:t>
            </w:r>
          </w:p>
        </w:tc>
        <w:tc>
          <w:tcPr>
            <w:tcW w:type="dxa" w:w="3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High if G1–G3 pass; persistent ITT holdout.</w:t>
            </w:r>
          </w:p>
        </w:tc>
        <w:tc>
          <w:tcPr>
            <w:tcW w:type="dxa" w:w="20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Best first experiment: narrow, reversible, observable.</w:t>
            </w:r>
          </w:p>
        </w:tc>
        <w:tc>
          <w:tcPr>
            <w:tcW w:type="dxa" w:w="12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Low–Med</w:t>
            </w:r>
          </w:p>
        </w:tc>
      </w:tr>
      <w:tr>
        <w:trPr>
          <w:cantSplit/>
        </w:trPr>
        <w:tc>
          <w:tcPr>
            <w:tcW w:type="dxa" w:w="165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Generic reminder / widget</w:t>
            </w:r>
          </w:p>
        </w:tc>
        <w:tc>
          <w:tcPr>
            <w:tcW w:type="dxa" w:w="195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Outside a high-intent moment.</w:t>
            </w:r>
          </w:p>
        </w:tc>
        <w:tc>
          <w:tcPr>
            <w:tcW w:type="dxa" w:w="3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Low: may create clicks or assisted journeys without proving incrementality.</w:t>
            </w:r>
          </w:p>
        </w:tc>
        <w:tc>
          <w:tcPr>
            <w:tcW w:type="dxa" w:w="20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Do not lead with it.</w:t>
            </w:r>
          </w:p>
        </w:tc>
        <w:tc>
          <w:tcPr>
            <w:tcW w:type="dxa" w:w="12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Low</w:t>
            </w:r>
          </w:p>
        </w:tc>
      </w:tr>
      <w:tr>
        <w:trPr>
          <w:cantSplit/>
        </w:trPr>
        <w:tc>
          <w:tcPr>
            <w:tcW w:type="dxa" w:w="165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Trust recovery</w:t>
            </w:r>
          </w:p>
        </w:tc>
        <w:tc>
          <w:tcPr>
            <w:tcW w:type="dxa" w:w="195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After a failure or support issue.</w:t>
            </w:r>
          </w:p>
        </w:tc>
        <w:tc>
          <w:tcPr>
            <w:tcW w:type="dxa" w:w="3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Moderate: the correct intervention is not yet known.</w:t>
            </w:r>
          </w:p>
        </w:tc>
        <w:tc>
          <w:tcPr>
            <w:tcW w:type="dxa" w:w="20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Guardrail; separate evidence-led bet.</w:t>
            </w:r>
          </w:p>
        </w:tc>
        <w:tc>
          <w:tcPr>
            <w:tcW w:type="dxa" w:w="12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Med</w:t>
            </w:r>
          </w:p>
        </w:tc>
      </w:tr>
      <w:tr>
        <w:trPr>
          <w:cantSplit/>
        </w:trPr>
        <w:tc>
          <w:tcPr>
            <w:tcW w:type="dxa" w:w="165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Discovery assistant</w:t>
            </w:r>
          </w:p>
        </w:tc>
        <w:tc>
          <w:tcPr>
            <w:tcW w:type="dxa" w:w="195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Early shopping / comparison.</w:t>
            </w:r>
          </w:p>
        </w:tc>
        <w:tc>
          <w:tcPr>
            <w:tcW w:type="dxa" w:w="3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Low today; broad habit and catalog problem.</w:t>
            </w:r>
          </w:p>
        </w:tc>
        <w:tc>
          <w:tcPr>
            <w:tcW w:type="dxa" w:w="20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Defer.</w:t>
            </w:r>
          </w:p>
        </w:tc>
        <w:tc>
          <w:tcPr>
            <w:tcW w:type="dxa" w:w="12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High</w:t>
            </w:r>
          </w:p>
        </w:tc>
      </w:tr>
    </w:tbl>
    <w:p>
      <w:pPr>
        <w:spacing w:after="140" w:before="0"/>
      </w:pPr>
      <w:r>
        <w:rPr>
          <w:rFonts w:ascii="Aptos" w:cs="Aptos" w:eastAsia="Aptos" w:hAnsi="Aptos"/>
          <w:i/>
          <w:iCs/>
          <w:color w:val="5E6B78"/>
          <w:sz w:val="17"/>
          <w:szCs w:val="17"/>
        </w:rPr>
        <w:t xml:space="preserve">Opportunity-cost column (qualitative, directional) added so trade-offs are visible at a glance, not just implied by ranking.</w:t>
      </w:r>
    </w:p>
    <w:p>
      <w:r>
        <w:br w:type="page"/>
      </w:r>
    </w:p>
    <w:p>
      <w:pPr>
        <w:pStyle w:val="Heading1"/>
        <w:keepNext/>
        <w:spacing w:after="140" w:before="260"/>
      </w:pPr>
      <w:r>
        <w:rPr>
          <w:rFonts w:ascii="Aptos" w:cs="Aptos" w:eastAsia="Aptos" w:hAnsi="Aptos"/>
          <w:b/>
          <w:bCs/>
          <w:color w:val="17365D"/>
          <w:sz w:val="31"/>
          <w:szCs w:val="31"/>
        </w:rPr>
        <w:t xml:space="preserve">3. Validation before engineering</w:t>
      </w:r>
    </w:p>
    <w:p>
      <w:pPr>
        <w:spacing w:after="120" w:before="0" w:line="264"/>
      </w:pPr>
      <w:r>
        <w:rPr>
          <w:rFonts w:ascii="Aptos" w:cs="Aptos" w:eastAsia="Aptos" w:hAnsi="Aptos"/>
          <w:color w:val="5E6B78"/>
          <w:sz w:val="19"/>
          <w:szCs w:val="19"/>
        </w:rPr>
        <w:t xml:space="preserve">Each gate has a cost. The purpose is to stop spending partner, engineering, and research capacity on a mechanism before the preceding uncertainty is reduced.</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EEF4F8"/>
            <w:tcMar>
              <w:top w:type="dxa" w:w="110"/>
              <w:left w:type="dxa" w:w="160"/>
              <w:bottom w:type="dxa" w:w="110"/>
              <w:right w:type="dxa" w:w="160"/>
            </w:tcMar>
          </w:tcPr>
          <w:p>
            <w:pPr>
              <w:spacing w:after="0" w:line="254"/>
            </w:pPr>
            <w:r>
              <w:rPr>
                <w:rFonts w:ascii="Aptos" w:cs="Aptos" w:eastAsia="Aptos" w:hAnsi="Aptos"/>
                <w:b/>
                <w:bCs/>
                <w:color w:val="17365D"/>
                <w:sz w:val="17"/>
                <w:szCs w:val="17"/>
              </w:rPr>
              <w:t xml:space="preserve">G1 CODING PLAN  </w:t>
            </w:r>
            <w:r>
              <w:rPr>
                <w:rFonts w:ascii="Aptos" w:cs="Aptos" w:eastAsia="Aptos" w:hAnsi="Aptos"/>
                <w:color w:val="17212B"/>
                <w:sz w:val="18"/>
                <w:szCs w:val="18"/>
              </w:rPr>
              <w:t xml:space="preserve">Two reviewers independently code each reconstruction for late recall, restart effort, eligibility uncertainty, trust blocker, and intentional non-use. Resolve disagreements before applying the PASS / GRAY / FAIL decision rule; this makes discovery repeatable without claiming user findings that do not yet exist.</w:t>
            </w:r>
          </w:p>
        </w:tc>
      </w:tr>
    </w:tbl>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EEF4F8"/>
            <w:tcMar>
              <w:top w:type="dxa" w:w="110"/>
              <w:left w:type="dxa" w:w="160"/>
              <w:bottom w:type="dxa" w:w="110"/>
              <w:right w:type="dxa" w:w="160"/>
            </w:tcMar>
          </w:tcPr>
          <w:p>
            <w:pPr>
              <w:spacing w:after="0" w:line="254"/>
            </w:pPr>
            <w:r>
              <w:rPr>
                <w:rFonts w:ascii="Aptos" w:cs="Aptos" w:eastAsia="Aptos" w:hAnsi="Aptos"/>
                <w:b/>
                <w:bCs/>
                <w:color w:val="17365D"/>
                <w:sz w:val="17"/>
                <w:szCs w:val="17"/>
              </w:rPr>
              <w:t xml:space="preserve">RESEARCH QUESTION → METHOD → SIGNAL → DECISION  </w:t>
            </w:r>
            <w:r>
              <w:rPr>
                <w:rFonts w:ascii="Aptos" w:cs="Aptos" w:eastAsia="Aptos" w:hAnsi="Aptos"/>
                <w:color w:val="17212B"/>
                <w:sz w:val="18"/>
                <w:szCs w:val="18"/>
              </w:rPr>
              <w:t xml:space="preserve">Was CashKaro known but recalled too late? → recent-purchase reconstruction → late recall plus restart effort → proceed, re-segment, or re-point. Proposed historical trust analysis — to validate: compare users with documented tracking/payout failures against matched users without the event.</w:t>
            </w:r>
          </w:p>
        </w:tc>
      </w:tr>
    </w:tbl>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gridCol w:w="100"/>
      </w:tblGrid>
      <w:tr>
        <w:trPr>
          <w:cantSplit/>
          <w:tblHeader/>
        </w:trPr>
        <w:tc>
          <w:tcPr>
            <w:tcW w:type="dxa" w:w="1654"/>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Gate</w:t>
            </w:r>
          </w:p>
        </w:tc>
        <w:tc>
          <w:tcPr>
            <w:tcW w:type="dxa" w:w="3164"/>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Method</w:t>
            </w:r>
          </w:p>
        </w:tc>
        <w:tc>
          <w:tcPr>
            <w:tcW w:type="dxa" w:w="3739"/>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Directional pass condition</w:t>
            </w:r>
          </w:p>
        </w:tc>
        <w:tc>
          <w:tcPr>
            <w:tcW w:type="dxa" w:w="1437"/>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If it fails</w:t>
            </w:r>
          </w:p>
        </w:tc>
      </w:tr>
      <w:tr>
        <w:trPr>
          <w:cantSplit/>
        </w:trPr>
        <w:tc>
          <w:tcPr>
            <w:tcW w:type="dxa" w:w="165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G1: Problem discovery</w:t>
            </w:r>
          </w:p>
        </w:tc>
        <w:tc>
          <w:tcPr>
            <w:tcW w:type="dxa" w:w="316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8–10 semi-structured recent-purchase reconstructions, incl. 2–3 declining-user contrasts.</w:t>
            </w:r>
          </w:p>
        </w:tc>
        <w:tc>
          <w:tcPr>
            <w:tcW w:type="dxa" w:w="373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PASS: ≥60% describe known cashback value + late recall/restart, no dominant trust blocker. FAIL: &lt;50% describe routing friction OR trust dominates. GRAY: 50–59% → 3–5 more interviews.</w:t>
            </w:r>
          </w:p>
        </w:tc>
        <w:tc>
          <w:tcPr>
            <w:tcW w:type="dxa" w:w="1437"/>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On FAIL, reframe to trust/value/discovery; do not build router. On GRAY, extend discovery.</w:t>
            </w:r>
          </w:p>
        </w:tc>
      </w:tr>
      <w:tr>
        <w:trPr>
          <w:cantSplit/>
        </w:trPr>
        <w:tc>
          <w:tcPr>
            <w:tcW w:type="dxa" w:w="165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G2: Addressability</w:t>
            </w:r>
          </w:p>
        </w:tc>
        <w:tc>
          <w:tcPr>
            <w:tcW w:type="dxa" w:w="316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First-party analysis of eligible retailers, desktop/Chrome reach, click-out history, order volume.</w:t>
            </w:r>
          </w:p>
        </w:tc>
        <w:tc>
          <w:tcPr>
            <w:tcW w:type="dxa" w:w="373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Enough reachable users and eligible purchase volume for a pre-specified 4–6 week powered test; partner terms permit the flow.</w:t>
            </w:r>
          </w:p>
        </w:tc>
        <w:tc>
          <w:tcPr>
            <w:tcW w:type="dxa" w:w="1437"/>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Use an owned-surface concept or select another segment/channel.</w:t>
            </w:r>
          </w:p>
        </w:tc>
      </w:tr>
      <w:tr>
        <w:trPr>
          <w:cantSplit/>
        </w:trPr>
        <w:tc>
          <w:tcPr>
            <w:tcW w:type="dxa" w:w="165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G3: Instrumentability</w:t>
            </w:r>
          </w:p>
        </w:tc>
        <w:tc>
          <w:tcPr>
            <w:tcW w:type="dxa" w:w="316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Technical spike with 3–5 partners.</w:t>
            </w:r>
          </w:p>
        </w:tc>
        <w:tc>
          <w:tcPr>
            <w:tcW w:type="dxa" w:w="373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Events join end-to-end; cooperative attribution and rollback are verified.</w:t>
            </w:r>
          </w:p>
        </w:tc>
        <w:tc>
          <w:tcPr>
            <w:tcW w:type="dxa" w:w="1437"/>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Fix constraints or stop.</w:t>
            </w:r>
          </w:p>
        </w:tc>
      </w:tr>
      <w:tr>
        <w:trPr>
          <w:cantSplit/>
        </w:trPr>
        <w:tc>
          <w:tcPr>
            <w:tcW w:type="dxa" w:w="165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G4: Causal proof</w:t>
            </w:r>
          </w:p>
        </w:tc>
        <w:tc>
          <w:tcPr>
            <w:tcW w:type="dxa" w:w="316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Pre-registered, powered 50/50 ITT experiment with persistent holdout and postback-matured window.</w:t>
            </w:r>
          </w:p>
        </w:tc>
        <w:tc>
          <w:tcPr>
            <w:tcW w:type="dxa" w:w="373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Positive lift whose 95% CI clears the pre-agreed practical threshold; guardrails healthy; conservative contribution clears cost.</w:t>
            </w:r>
          </w:p>
        </w:tc>
        <w:tc>
          <w:tcPr>
            <w:tcW w:type="dxa" w:w="1437"/>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Run one pre-specified remediable iteration only if diagnostics isolate the issue; otherwise kill or redirect.</w:t>
            </w:r>
          </w:p>
        </w:tc>
      </w:tr>
    </w:tbl>
    <w:p>
      <w:pPr>
        <w:spacing w:after="80"/>
      </w:pPr>
    </w:p>
    <w:p>
      <w:pPr>
        <w:pStyle w:val="Heading2"/>
        <w:keepNext/>
        <w:spacing w:after="90" w:before="100"/>
      </w:pPr>
      <w:r>
        <w:rPr>
          <w:rFonts w:ascii="Aptos" w:cs="Aptos" w:eastAsia="Aptos" w:hAnsi="Aptos"/>
          <w:b/>
          <w:bCs/>
          <w:color w:val="2E74B5"/>
          <w:sz w:val="23"/>
          <w:szCs w:val="23"/>
        </w:rPr>
        <w:t xml:space="preserve">Validation decision tree</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tblGrid>
      <w:tr>
        <w:trPr>
          <w:cantSplit/>
          <w:tblHeader/>
        </w:trPr>
        <w:tc>
          <w:tcPr>
            <w:tcW w:type="dxa" w:w="2752"/>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Gate</w:t>
            </w:r>
          </w:p>
        </w:tc>
        <w:tc>
          <w:tcPr>
            <w:tcW w:type="dxa" w:w="7242"/>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Rule</w:t>
            </w:r>
          </w:p>
        </w:tc>
      </w:tr>
      <w:tr>
        <w:trPr>
          <w:cantSplit/>
        </w:trPr>
        <w:tc>
          <w:tcPr>
            <w:tcW w:type="dxa" w:w="275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G1: routing friction?</w:t>
            </w:r>
          </w:p>
        </w:tc>
        <w:tc>
          <w:tcPr>
            <w:tcW w:type="dxa" w:w="724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PASS → G2 | GRAY → more discovery | FAIL → trust / value / discovery.</w:t>
            </w:r>
          </w:p>
        </w:tc>
      </w:tr>
      <w:tr>
        <w:trPr>
          <w:cantSplit/>
        </w:trPr>
        <w:tc>
          <w:tcPr>
            <w:tcW w:type="dxa" w:w="275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G2: reachable audience?</w:t>
            </w:r>
          </w:p>
        </w:tc>
        <w:tc>
          <w:tcPr>
            <w:tcW w:type="dxa" w:w="724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PASS → G3 | FAIL → change channel / segment.</w:t>
            </w:r>
          </w:p>
        </w:tc>
      </w:tr>
      <w:tr>
        <w:trPr>
          <w:cantSplit/>
        </w:trPr>
        <w:tc>
          <w:tcPr>
            <w:tcW w:type="dxa" w:w="275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G3: safely measurable?</w:t>
            </w:r>
          </w:p>
        </w:tc>
        <w:tc>
          <w:tcPr>
            <w:tcW w:type="dxa" w:w="724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PASS → G4 | FAIL → fix constraint / stop.</w:t>
            </w:r>
          </w:p>
        </w:tc>
      </w:tr>
      <w:tr>
        <w:trPr>
          <w:cantSplit/>
        </w:trPr>
        <w:tc>
          <w:tcPr>
            <w:tcW w:type="dxa" w:w="275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G4: incremental value?</w:t>
            </w:r>
          </w:p>
        </w:tc>
        <w:tc>
          <w:tcPr>
            <w:tcW w:type="dxa" w:w="724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SCALE | ITERATE ONCE if diagnostic is remediable | KILL.</w:t>
            </w:r>
          </w:p>
        </w:tc>
      </w:tr>
    </w:tbl>
    <w:p>
      <w:pPr>
        <w:spacing w:after="100"/>
      </w:pP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FFF2D8"/>
            <w:tcMar>
              <w:top w:type="dxa" w:w="110"/>
              <w:left w:type="dxa" w:w="160"/>
              <w:bottom w:type="dxa" w:w="110"/>
              <w:right w:type="dxa" w:w="160"/>
            </w:tcMar>
          </w:tcPr>
          <w:p>
            <w:pPr>
              <w:spacing w:after="0" w:line="254"/>
            </w:pPr>
            <w:r>
              <w:rPr>
                <w:rFonts w:ascii="Aptos" w:cs="Aptos" w:eastAsia="Aptos" w:hAnsi="Aptos"/>
                <w:b/>
                <w:bCs/>
                <w:color w:val="B77718"/>
                <w:sz w:val="17"/>
                <w:szCs w:val="17"/>
              </w:rPr>
              <w:t xml:space="preserve">WHAT WOULD CHANGE MY MIND?  </w:t>
            </w:r>
            <w:r>
              <w:rPr>
                <w:rFonts w:ascii="Aptos" w:cs="Aptos" w:eastAsia="Aptos" w:hAnsi="Aptos"/>
                <w:color w:val="17212B"/>
                <w:sz w:val="18"/>
                <w:szCs w:val="18"/>
              </w:rPr>
              <w:t xml:space="preserve">Users do not independently describe late recall/restart friction; target users cannot be reached; attribution or partner constraints block safe intervention; activation rises without incremental orders; trust becomes dominant; or conservative economics fail. If wrong, do not optimize the router indefinitely — redirect discovery to the mechanism the evidence supports.</w:t>
            </w:r>
          </w:p>
        </w:tc>
      </w:tr>
    </w:tbl>
    <w:p>
      <w:pPr>
        <w:spacing w:after="60"/>
      </w:pPr>
    </w:p>
    <w:p>
      <w:pPr>
        <w:pStyle w:val="Heading1"/>
        <w:keepNext/>
        <w:spacing w:after="140" w:before="260"/>
      </w:pPr>
      <w:r>
        <w:rPr>
          <w:rFonts w:ascii="Aptos" w:cs="Aptos" w:eastAsia="Aptos" w:hAnsi="Aptos"/>
          <w:b/>
          <w:bCs/>
          <w:color w:val="17365D"/>
          <w:sz w:val="31"/>
          <w:szCs w:val="31"/>
        </w:rPr>
        <w:t xml:space="preserve">4. Product decision: CashKaro Intent Router</w:t>
      </w:r>
    </w:p>
    <w:p>
      <w:pPr>
        <w:spacing w:after="120" w:before="0" w:line="264"/>
      </w:pPr>
      <w:r>
        <w:rPr>
          <w:rFonts w:ascii="Aptos" w:cs="Aptos" w:eastAsia="Aptos" w:hAnsi="Aptos"/>
          <w:color w:val="17212B"/>
          <w:sz w:val="20"/>
          <w:szCs w:val="20"/>
        </w:rPr>
        <w:t xml:space="preserve">Conditional on G1–G3, V1 is a desktop-first Chrome extension for consented, desktop-leaning users in the validated target segment. It appears only on a small retailer allowlist and supported browsing states. Its promise is deliberately narrow: activate the known cashback path without forcing a journey restart.</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EEF4F8"/>
            <w:tcMar>
              <w:top w:type="dxa" w:w="110"/>
              <w:left w:type="dxa" w:w="160"/>
              <w:bottom w:type="dxa" w:w="110"/>
              <w:right w:type="dxa" w:w="160"/>
            </w:tcMar>
          </w:tcPr>
          <w:p>
            <w:pPr>
              <w:spacing w:after="0" w:line="254"/>
            </w:pPr>
            <w:r>
              <w:rPr>
                <w:rFonts w:ascii="Aptos" w:cs="Aptos" w:eastAsia="Aptos" w:hAnsi="Aptos"/>
                <w:b/>
                <w:bCs/>
                <w:color w:val="17365D"/>
                <w:sz w:val="17"/>
                <w:szCs w:val="17"/>
              </w:rPr>
              <w:t xml:space="preserve">JOB TO BE DONE  </w:t>
            </w:r>
            <w:r>
              <w:rPr>
                <w:rFonts w:ascii="Aptos" w:cs="Aptos" w:eastAsia="Aptos" w:hAnsi="Aptos"/>
                <w:color w:val="17212B"/>
                <w:sz w:val="18"/>
                <w:szCs w:val="18"/>
              </w:rPr>
              <w:t xml:space="preserve">When I have started shopping on an eligible retailer and can receive cashback, help me activate a reliable CashKaro-tracked journey with minimal disruption, so I do not have to choose between preserving my progress and earning cashback.</w:t>
            </w:r>
          </w:p>
        </w:tc>
      </w:tr>
    </w:tbl>
    <w:p>
      <w:pPr>
        <w:pStyle w:val="Heading2"/>
        <w:keepNext/>
        <w:spacing w:after="90" w:before="200"/>
      </w:pPr>
      <w:r>
        <w:rPr>
          <w:rFonts w:ascii="Aptos" w:cs="Aptos" w:eastAsia="Aptos" w:hAnsi="Aptos"/>
          <w:b/>
          <w:bCs/>
          <w:color w:val="2E74B5"/>
          <w:sz w:val="23"/>
          <w:szCs w:val="23"/>
        </w:rPr>
        <w:t xml:space="preserve">Intent Router UI concept — two states</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tblGrid>
      <w:tr>
        <w:trPr>
          <w:cantSplit/>
        </w:trPr>
        <w:tc>
          <w:tcPr>
            <w:tcW w:type="dxa" w:w="4997"/>
            <w:tcBorders>
              <w:top w:val="single" w:color="AFC2D3" w:sz="5"/>
              <w:left w:val="single" w:color="AFC2D3" w:sz="5"/>
              <w:bottom w:val="single" w:color="AFC2D3" w:sz="5"/>
              <w:right w:val="single" w:color="AFC2D3" w:sz="5"/>
            </w:tcBorders>
            <w:shd w:fill="FFFFFF"/>
            <w:tcMar>
              <w:top w:type="dxa" w:w="140"/>
              <w:left w:type="dxa" w:w="140"/>
              <w:bottom w:type="dxa" w:w="140"/>
              <w:right w:type="dxa" w:w="140"/>
            </w:tcMar>
          </w:tcPr>
          <w:p>
            <w:pPr>
              <w:spacing w:after="60"/>
              <w:jc w:val="center"/>
            </w:pPr>
            <w:r>
              <w:rPr>
                <w:rFonts w:ascii="Aptos" w:cs="Aptos" w:eastAsia="Aptos" w:hAnsi="Aptos"/>
                <w:b/>
                <w:bCs/>
                <w:color w:val="147D88"/>
                <w:sz w:val="26"/>
                <w:szCs w:val="26"/>
              </w:rPr>
              <w:t xml:space="preserve">cashkaro</w:t>
            </w:r>
          </w:p>
          <w:p>
            <w:pPr>
              <w:spacing w:after="40"/>
              <w:jc w:val="center"/>
            </w:pPr>
            <w:r>
              <w:rPr>
                <w:rFonts w:ascii="Aptos" w:cs="Aptos" w:eastAsia="Aptos" w:hAnsi="Aptos"/>
                <w:b/>
                <w:bCs/>
                <w:color w:val="17365D"/>
                <w:sz w:val="21"/>
                <w:szCs w:val="21"/>
              </w:rPr>
              <w:t xml:space="preserve">Cashback available</w:t>
            </w:r>
          </w:p>
          <w:p>
            <w:pPr>
              <w:spacing w:after="40"/>
              <w:jc w:val="center"/>
            </w:pPr>
            <w:r>
              <w:rPr>
                <w:rFonts w:ascii="Aptos" w:cs="Aptos" w:eastAsia="Aptos" w:hAnsi="Aptos"/>
                <w:color w:val="17212B"/>
                <w:sz w:val="17"/>
                <w:szCs w:val="17"/>
              </w:rPr>
              <w:t xml:space="preserve">at [Retailer]  ·  Up to X%</w:t>
            </w:r>
          </w:p>
          <w:p>
            <w:pPr>
              <w:shd w:fill="147D88"/>
              <w:spacing w:after="60" w:before="60"/>
              <w:jc w:val="center"/>
            </w:pPr>
            <w:r>
              <w:rPr>
                <w:rFonts w:ascii="Aptos" w:cs="Aptos" w:eastAsia="Aptos" w:hAnsi="Aptos"/>
                <w:b/>
                <w:bCs/>
                <w:color w:val="FFFFFF"/>
                <w:sz w:val="17"/>
                <w:szCs w:val="17"/>
              </w:rPr>
              <w:t xml:space="preserve">ACTIVATE CASHBACK</w:t>
            </w:r>
          </w:p>
          <w:p>
            <w:pPr>
              <w:jc w:val="center"/>
            </w:pPr>
            <w:r>
              <w:rPr>
                <w:rFonts w:ascii="Aptos" w:cs="Aptos" w:eastAsia="Aptos" w:hAnsi="Aptos"/>
                <w:b/>
                <w:bCs/>
                <w:color w:val="147D88"/>
                <w:sz w:val="14"/>
                <w:szCs w:val="14"/>
              </w:rPr>
              <w:t xml:space="preserve">✓ Tracking expected after activation</w:t>
            </w:r>
          </w:p>
          <w:p>
            <w:pPr>
              <w:jc w:val="center"/>
            </w:pPr>
            <w:r>
              <w:rPr>
                <w:rFonts w:ascii="Aptos" w:cs="Aptos" w:eastAsia="Aptos" w:hAnsi="Aptos"/>
                <w:color w:val="5E6B78"/>
                <w:sz w:val="14"/>
                <w:szCs w:val="14"/>
              </w:rPr>
              <w:t xml:space="preserve">View terms          Not now</w:t>
            </w:r>
          </w:p>
          <w:p>
            <w:pPr>
              <w:spacing w:before="80"/>
              <w:jc w:val="center"/>
            </w:pPr>
            <w:r>
              <w:rPr>
                <w:rFonts w:ascii="Aptos" w:cs="Aptos" w:eastAsia="Aptos" w:hAnsi="Aptos"/>
                <w:i/>
                <w:iCs/>
                <w:color w:val="5E6B78"/>
                <w:sz w:val="13"/>
                <w:szCs w:val="13"/>
              </w:rPr>
              <w:t xml:space="preserve">State A — Eligible, no existing referral</w:t>
            </w:r>
          </w:p>
        </w:tc>
        <w:tc>
          <w:tcPr>
            <w:tcW w:type="dxa" w:w="4997"/>
            <w:tcBorders>
              <w:top w:val="single" w:color="AFC2D3" w:sz="5"/>
              <w:left w:val="single" w:color="AFC2D3" w:sz="5"/>
              <w:bottom w:val="single" w:color="AFC2D3" w:sz="5"/>
              <w:right w:val="single" w:color="AFC2D3" w:sz="5"/>
            </w:tcBorders>
            <w:shd w:fill="F4F6F8"/>
            <w:tcMar>
              <w:top w:type="dxa" w:w="140"/>
              <w:left w:type="dxa" w:w="140"/>
              <w:bottom w:type="dxa" w:w="140"/>
              <w:right w:type="dxa" w:w="140"/>
            </w:tcMar>
          </w:tcPr>
          <w:p>
            <w:pPr>
              <w:spacing w:after="60"/>
              <w:jc w:val="center"/>
            </w:pPr>
            <w:r>
              <w:rPr>
                <w:rFonts w:ascii="Aptos" w:cs="Aptos" w:eastAsia="Aptos" w:hAnsi="Aptos"/>
                <w:b/>
                <w:bCs/>
                <w:color w:val="5E6B78"/>
                <w:sz w:val="26"/>
                <w:szCs w:val="26"/>
              </w:rPr>
              <w:t xml:space="preserve">cashkaro</w:t>
            </w:r>
          </w:p>
          <w:p>
            <w:pPr>
              <w:spacing w:after="40"/>
              <w:jc w:val="center"/>
            </w:pPr>
            <w:r>
              <w:rPr>
                <w:rFonts w:ascii="Aptos" w:cs="Aptos" w:eastAsia="Aptos" w:hAnsi="Aptos"/>
                <w:b/>
                <w:bCs/>
                <w:color w:val="5E6B78"/>
                <w:sz w:val="21"/>
                <w:szCs w:val="21"/>
              </w:rPr>
              <w:t xml:space="preserve">No prompt shown</w:t>
            </w:r>
          </w:p>
          <w:p>
            <w:pPr>
              <w:spacing w:after="40"/>
              <w:jc w:val="center"/>
            </w:pPr>
            <w:r>
              <w:rPr>
                <w:rFonts w:ascii="Aptos" w:cs="Aptos" w:eastAsia="Aptos" w:hAnsi="Aptos"/>
                <w:color w:val="5E6B78"/>
                <w:sz w:val="15"/>
                <w:szCs w:val="15"/>
              </w:rPr>
              <w:t xml:space="preserve">Existing referral / suppressed / ineligible</w:t>
            </w:r>
          </w:p>
          <w:p>
            <w:pPr>
              <w:spacing w:before="100"/>
              <w:jc w:val="center"/>
            </w:pPr>
            <w:r>
              <w:rPr>
                <w:rFonts w:ascii="Aptos" w:cs="Aptos" w:eastAsia="Aptos" w:hAnsi="Aptos"/>
                <w:i/>
                <w:iCs/>
                <w:color w:val="5E6B78"/>
                <w:sz w:val="15"/>
                <w:szCs w:val="15"/>
              </w:rPr>
              <w:t xml:space="preserve">(silent — no UI rendered)</w:t>
            </w:r>
          </w:p>
          <w:p>
            <w:pPr>
              <w:spacing w:before="160"/>
              <w:jc w:val="center"/>
            </w:pPr>
            <w:r>
              <w:rPr>
                <w:rFonts w:ascii="Aptos" w:cs="Aptos" w:eastAsia="Aptos" w:hAnsi="Aptos"/>
                <w:color w:val="5E6B78"/>
                <w:sz w:val="13"/>
                <w:szCs w:val="13"/>
              </w:rPr>
              <w:t xml:space="preserve">Prior attribution is preserved; suppression reason is logged server-side.</w:t>
            </w:r>
          </w:p>
          <w:p>
            <w:pPr>
              <w:spacing w:before="80"/>
              <w:jc w:val="center"/>
            </w:pPr>
            <w:r>
              <w:rPr>
                <w:rFonts w:ascii="Aptos" w:cs="Aptos" w:eastAsia="Aptos" w:hAnsi="Aptos"/>
                <w:i/>
                <w:iCs/>
                <w:color w:val="5E6B78"/>
                <w:sz w:val="13"/>
                <w:szCs w:val="13"/>
              </w:rPr>
              <w:t xml:space="preserve">State B — Existing referral / suppressed</w:t>
            </w:r>
          </w:p>
        </w:tc>
      </w:tr>
    </w:tbl>
    <w:p>
      <w:pPr>
        <w:spacing w:after="140" w:before="0"/>
      </w:pPr>
      <w:r>
        <w:rPr>
          <w:rFonts w:ascii="Aptos" w:cs="Aptos" w:eastAsia="Aptos" w:hAnsi="Aptos"/>
          <w:i/>
          <w:iCs/>
          <w:color w:val="5E6B78"/>
          <w:sz w:val="17"/>
          <w:szCs w:val="17"/>
        </w:rPr>
        <w:t xml:space="preserve">Figure 2. Two proposed states: the extension only ever prompts in State A. Rate, retailer name, and terms are dynamic placeholders; no claim is made about cart preservation.</w:t>
      </w:r>
    </w:p>
    <w:p>
      <w:pPr>
        <w:pStyle w:val="Heading2"/>
        <w:keepNext/>
        <w:spacing w:after="90" w:before="200"/>
      </w:pPr>
      <w:r>
        <w:rPr>
          <w:rFonts w:ascii="Aptos" w:cs="Aptos" w:eastAsia="Aptos" w:hAnsi="Aptos"/>
          <w:b/>
          <w:bCs/>
          <w:color w:val="2E74B5"/>
          <w:sz w:val="23"/>
          <w:szCs w:val="23"/>
        </w:rPr>
        <w:t xml:space="preserve">Design principles</w:t>
      </w:r>
    </w:p>
    <w:p>
      <w:pPr>
        <w:pStyle w:val="ListParagraph"/>
        <w:numPr>
          <w:ilvl w:val="0"/>
          <w:numId w:val="1"/>
        </w:numPr>
        <w:spacing w:after="60" w:line="240"/>
      </w:pPr>
      <w:r>
        <w:rPr>
          <w:rFonts w:ascii="Aptos" w:cs="Aptos" w:eastAsia="Aptos" w:hAnsi="Aptos"/>
          <w:color w:val="17212B"/>
          <w:sz w:val="15"/>
          <w:szCs w:val="15"/>
        </w:rPr>
        <w:t xml:space="preserve">One clear value statement; rate and terms come from fresh affiliate configuration.</w:t>
      </w:r>
    </w:p>
    <w:p>
      <w:pPr>
        <w:pStyle w:val="ListParagraph"/>
        <w:numPr>
          <w:ilvl w:val="0"/>
          <w:numId w:val="1"/>
        </w:numPr>
        <w:spacing w:after="60" w:line="240"/>
      </w:pPr>
      <w:r>
        <w:rPr>
          <w:rFonts w:ascii="Aptos" w:cs="Aptos" w:eastAsia="Aptos" w:hAnsi="Aptos"/>
          <w:color w:val="17212B"/>
          <w:sz w:val="15"/>
          <w:szCs w:val="15"/>
        </w:rPr>
        <w:t xml:space="preserve">Explicit action only — no auto-activation, checkout interruption, or repeated prompt after suppression.</w:t>
      </w:r>
    </w:p>
    <w:p>
      <w:pPr>
        <w:pStyle w:val="ListParagraph"/>
        <w:numPr>
          <w:ilvl w:val="0"/>
          <w:numId w:val="1"/>
        </w:numPr>
        <w:spacing w:after="60" w:line="240"/>
      </w:pPr>
      <w:r>
        <w:rPr>
          <w:rFonts w:ascii="Aptos" w:cs="Aptos" w:eastAsia="Aptos" w:hAnsi="Aptos"/>
          <w:color w:val="17212B"/>
          <w:sz w:val="15"/>
          <w:szCs w:val="15"/>
        </w:rPr>
        <w:t xml:space="preserve">Activation creates a server-side click ID; prior referral/attribution takes precedence.</w:t>
      </w:r>
    </w:p>
    <w:p>
      <w:pPr>
        <w:pStyle w:val="ListParagraph"/>
        <w:numPr>
          <w:ilvl w:val="0"/>
          <w:numId w:val="1"/>
        </w:numPr>
        <w:spacing w:after="60" w:line="240"/>
      </w:pPr>
      <w:r>
        <w:rPr>
          <w:rFonts w:ascii="Aptos" w:cs="Aptos" w:eastAsia="Aptos" w:hAnsi="Aptos"/>
          <w:color w:val="17212B"/>
          <w:sz w:val="15"/>
          <w:szCs w:val="15"/>
        </w:rPr>
        <w:t xml:space="preserve">"Tracking expected" communicates the next state without promising cashback.</w:t>
      </w:r>
    </w:p>
    <w:p>
      <w:r>
        <w:br w:type="page"/>
      </w:r>
    </w:p>
    <w:p>
      <w:pPr>
        <w:pStyle w:val="Heading2"/>
        <w:keepNext/>
        <w:spacing w:after="90" w:before="0"/>
      </w:pPr>
      <w:r>
        <w:rPr>
          <w:rFonts w:ascii="Aptos" w:cs="Aptos" w:eastAsia="Aptos" w:hAnsi="Aptos"/>
          <w:b/>
          <w:bCs/>
          <w:color w:val="2E74B5"/>
          <w:sz w:val="23"/>
          <w:szCs w:val="23"/>
        </w:rPr>
        <w:t xml:space="preserve">V1 product spec</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tblGrid>
      <w:tr>
        <w:trPr>
          <w:cantSplit/>
          <w:tblHeader/>
        </w:trPr>
        <w:tc>
          <w:tcPr>
            <w:tcW w:type="dxa" w:w="1955"/>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Specification</w:t>
            </w:r>
          </w:p>
        </w:tc>
        <w:tc>
          <w:tcPr>
            <w:tcW w:type="dxa" w:w="8039"/>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V1 definition</w:t>
            </w:r>
          </w:p>
        </w:tc>
      </w:tr>
      <w:tr>
        <w:trPr>
          <w:cantSplit/>
        </w:trPr>
        <w:tc>
          <w:tcPr>
            <w:tcW w:type="dxa" w:w="195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User story</w:t>
            </w:r>
          </w:p>
        </w:tc>
        <w:tc>
          <w:tcPr>
            <w:tcW w:type="dxa" w:w="803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As a consented existing CashKaro user shopping at an eligible retailer, I want to activate cashback without restarting my journey so I can earn cashback without disrupting my purchase.</w:t>
            </w:r>
          </w:p>
        </w:tc>
      </w:tr>
      <w:tr>
        <w:trPr>
          <w:cantSplit/>
        </w:trPr>
        <w:tc>
          <w:tcPr>
            <w:tcW w:type="dxa" w:w="195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Trigger + preconditions</w:t>
            </w:r>
          </w:p>
        </w:tc>
        <w:tc>
          <w:tcPr>
            <w:tcW w:type="dxa" w:w="803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Supported retailer intent; consent; treatment assignment; validated segment; eligible retailer/page; fresh configuration; no existing referral; remaining frequency allowance.</w:t>
            </w:r>
          </w:p>
        </w:tc>
      </w:tr>
      <w:tr>
        <w:trPr>
          <w:cantSplit/>
        </w:trPr>
        <w:tc>
          <w:tcPr>
            <w:tcW w:type="dxa" w:w="195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Experience</w:t>
            </w:r>
          </w:p>
        </w:tc>
        <w:tc>
          <w:tcPr>
            <w:tcW w:type="dxa" w:w="803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Eligible → prompt → explicit activation → tracked handoff → tracking expected.</w:t>
            </w:r>
          </w:p>
        </w:tc>
      </w:tr>
    </w:tbl>
    <w:p>
      <w:pPr>
        <w:spacing w:after="60"/>
      </w:pPr>
    </w:p>
    <w:p>
      <w:pPr>
        <w:spacing w:after="60"/>
      </w:pPr>
      <w:r>
        <w:rPr>
          <w:rFonts w:ascii="Aptos" w:cs="Aptos" w:eastAsia="Aptos" w:hAnsi="Aptos"/>
          <w:b/>
          <w:bCs/>
          <w:color w:val="17365D"/>
          <w:sz w:val="17"/>
          <w:szCs w:val="17"/>
        </w:rPr>
        <w:t xml:space="preserve">Acceptance criteria</w:t>
      </w:r>
    </w:p>
    <w:p>
      <w:pPr>
        <w:pStyle w:val="ListParagraph"/>
        <w:numPr>
          <w:ilvl w:val="0"/>
          <w:numId w:val="1"/>
        </w:numPr>
        <w:spacing w:after="60" w:line="240"/>
      </w:pPr>
      <w:r>
        <w:rPr>
          <w:rFonts w:ascii="Aptos" w:cs="Aptos" w:eastAsia="Aptos" w:hAnsi="Aptos"/>
          <w:color w:val="17212B"/>
          <w:sz w:val="15"/>
          <w:szCs w:val="15"/>
        </w:rPr>
        <w:t xml:space="preserve">AC1 — policy returns eligible before prompt.</w:t>
      </w:r>
    </w:p>
    <w:p>
      <w:pPr>
        <w:pStyle w:val="ListParagraph"/>
        <w:numPr>
          <w:ilvl w:val="0"/>
          <w:numId w:val="1"/>
        </w:numPr>
        <w:spacing w:after="60" w:line="240"/>
      </w:pPr>
      <w:r>
        <w:rPr>
          <w:rFonts w:ascii="Aptos" w:cs="Aptos" w:eastAsia="Aptos" w:hAnsi="Aptos"/>
          <w:color w:val="17212B"/>
          <w:sz w:val="15"/>
          <w:szCs w:val="15"/>
        </w:rPr>
        <w:t xml:space="preserve">AC2 — existing referral wins; router never overwrites it.</w:t>
      </w:r>
    </w:p>
    <w:p>
      <w:pPr>
        <w:pStyle w:val="ListParagraph"/>
        <w:numPr>
          <w:ilvl w:val="0"/>
          <w:numId w:val="1"/>
        </w:numPr>
        <w:spacing w:after="60" w:line="240"/>
      </w:pPr>
      <w:r>
        <w:rPr>
          <w:rFonts w:ascii="Aptos" w:cs="Aptos" w:eastAsia="Aptos" w:hAnsi="Aptos"/>
          <w:color w:val="17212B"/>
          <w:sz w:val="15"/>
          <w:szCs w:val="15"/>
        </w:rPr>
        <w:t xml:space="preserve">AC3 — checkout/payment, unsupported, stale, and suppressed states show no prompt.</w:t>
      </w:r>
    </w:p>
    <w:p>
      <w:pPr>
        <w:pStyle w:val="ListParagraph"/>
        <w:numPr>
          <w:ilvl w:val="0"/>
          <w:numId w:val="1"/>
        </w:numPr>
        <w:spacing w:after="60" w:line="240"/>
      </w:pPr>
      <w:r>
        <w:rPr>
          <w:rFonts w:ascii="Aptos" w:cs="Aptos" w:eastAsia="Aptos" w:hAnsi="Aptos"/>
          <w:color w:val="17212B"/>
          <w:sz w:val="15"/>
          <w:szCs w:val="15"/>
        </w:rPr>
        <w:t xml:space="preserve">AC4 — activation creates a unique server-side click ID.</w:t>
      </w:r>
    </w:p>
    <w:p>
      <w:pPr>
        <w:pStyle w:val="ListParagraph"/>
        <w:numPr>
          <w:ilvl w:val="0"/>
          <w:numId w:val="1"/>
        </w:numPr>
        <w:spacing w:after="60" w:line="240"/>
      </w:pPr>
      <w:r>
        <w:rPr>
          <w:rFonts w:ascii="Aptos" w:cs="Aptos" w:eastAsia="Aptos" w:hAnsi="Aptos"/>
          <w:color w:val="17212B"/>
          <w:sz w:val="15"/>
          <w:szCs w:val="15"/>
        </w:rPr>
        <w:t xml:space="preserve">AC5 — assignment, exposure, activation, redirect, and postback are all logged.</w:t>
      </w:r>
    </w:p>
    <w:p>
      <w:pPr>
        <w:pStyle w:val="ListParagraph"/>
        <w:numPr>
          <w:ilvl w:val="0"/>
          <w:numId w:val="1"/>
        </w:numPr>
        <w:spacing w:after="60" w:line="240"/>
      </w:pPr>
      <w:r>
        <w:rPr>
          <w:rFonts w:ascii="Aptos" w:cs="Aptos" w:eastAsia="Aptos" w:hAnsi="Aptos"/>
          <w:color w:val="17212B"/>
          <w:sz w:val="15"/>
          <w:szCs w:val="15"/>
        </w:rPr>
        <w:t xml:space="preserve">AC6 — failures fail closed.</w:t>
      </w:r>
    </w:p>
    <w:p>
      <w:pPr>
        <w:pStyle w:val="ListParagraph"/>
        <w:numPr>
          <w:ilvl w:val="0"/>
          <w:numId w:val="1"/>
        </w:numPr>
        <w:spacing w:after="60" w:line="240"/>
      </w:pPr>
      <w:r>
        <w:rPr>
          <w:rFonts w:ascii="Aptos" w:cs="Aptos" w:eastAsia="Aptos" w:hAnsi="Aptos"/>
          <w:color w:val="17212B"/>
          <w:sz w:val="15"/>
          <w:szCs w:val="15"/>
        </w:rPr>
        <w:t xml:space="preserve">AC7 — copy never implies guaranteed cashback.</w:t>
      </w:r>
    </w:p>
    <w:p>
      <w:pPr>
        <w:spacing w:after="80"/>
      </w:pP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tblGrid>
      <w:tr>
        <w:trPr>
          <w:cantSplit/>
          <w:tblHeader/>
        </w:trPr>
        <w:tc>
          <w:tcPr>
            <w:tcW w:type="dxa" w:w="1811"/>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User state</w:t>
            </w:r>
          </w:p>
        </w:tc>
        <w:tc>
          <w:tcPr>
            <w:tcW w:type="dxa" w:w="3838"/>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User experience</w:t>
            </w:r>
          </w:p>
        </w:tc>
        <w:tc>
          <w:tcPr>
            <w:tcW w:type="dxa" w:w="4345"/>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System behavior</w:t>
            </w:r>
          </w:p>
        </w:tc>
      </w:tr>
      <w:tr>
        <w:trPr>
          <w:cantSplit/>
        </w:trPr>
        <w:tc>
          <w:tcPr>
            <w:tcW w:type="dxa" w:w="1811"/>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Eligible</w:t>
            </w:r>
          </w:p>
        </w:tc>
        <w:tc>
          <w:tcPr>
            <w:tcW w:type="dxa" w:w="3838"/>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Prompt: "ACTIVATE CASHBACK."</w:t>
            </w:r>
          </w:p>
        </w:tc>
        <w:tc>
          <w:tcPr>
            <w:tcW w:type="dxa" w:w="434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Server confirms policy; log exposure.</w:t>
            </w:r>
          </w:p>
        </w:tc>
      </w:tr>
      <w:tr>
        <w:trPr>
          <w:cantSplit/>
        </w:trPr>
        <w:tc>
          <w:tcPr>
            <w:tcW w:type="dxa" w:w="1811"/>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Activated</w:t>
            </w:r>
          </w:p>
        </w:tc>
        <w:tc>
          <w:tcPr>
            <w:tcW w:type="dxa" w:w="3838"/>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"Tracking expected after activation."</w:t>
            </w:r>
          </w:p>
        </w:tc>
        <w:tc>
          <w:tcPr>
            <w:tcW w:type="dxa" w:w="434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Create click ID; initiate tracked journey.</w:t>
            </w:r>
          </w:p>
        </w:tc>
      </w:tr>
      <w:tr>
        <w:trPr>
          <w:cantSplit/>
        </w:trPr>
        <w:tc>
          <w:tcPr>
            <w:tcW w:type="dxa" w:w="1811"/>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Confirmed</w:t>
            </w:r>
          </w:p>
        </w:tc>
        <w:tc>
          <w:tcPr>
            <w:tcW w:type="dxa" w:w="3838"/>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Clear tracked-order/status update.</w:t>
            </w:r>
          </w:p>
        </w:tc>
        <w:tc>
          <w:tcPr>
            <w:tcW w:type="dxa" w:w="434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Reconciled partner outcome updates order status.</w:t>
            </w:r>
          </w:p>
        </w:tc>
      </w:tr>
      <w:tr>
        <w:trPr>
          <w:cantSplit/>
        </w:trPr>
        <w:tc>
          <w:tcPr>
            <w:tcW w:type="dxa" w:w="1811"/>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Existing referral (optional)</w:t>
            </w:r>
          </w:p>
        </w:tc>
        <w:tc>
          <w:tcPr>
            <w:tcW w:type="dxa" w:w="3838"/>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No prompt.</w:t>
            </w:r>
          </w:p>
        </w:tc>
        <w:tc>
          <w:tcPr>
            <w:tcW w:type="dxa" w:w="434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Preserve attribution; log suppression reason.</w:t>
            </w:r>
          </w:p>
        </w:tc>
      </w:tr>
    </w:tbl>
    <w:p>
      <w:pPr>
        <w:pStyle w:val="Heading2"/>
        <w:keepNext/>
        <w:spacing w:after="90" w:before="200"/>
      </w:pPr>
      <w:r>
        <w:rPr>
          <w:rFonts w:ascii="Aptos" w:cs="Aptos" w:eastAsia="Aptos" w:hAnsi="Aptos"/>
          <w:b/>
          <w:bCs/>
          <w:color w:val="2E74B5"/>
          <w:sz w:val="23"/>
          <w:szCs w:val="23"/>
        </w:rPr>
        <w:t xml:space="preserve">V1.5: mobile recovery — deliberately gated</w:t>
      </w:r>
    </w:p>
    <w:p>
      <w:pPr>
        <w:spacing w:after="120" w:before="0" w:line="264"/>
      </w:pPr>
      <w:r>
        <w:rPr>
          <w:rFonts w:ascii="Aptos" w:cs="Aptos" w:eastAsia="Aptos" w:hAnsi="Aptos"/>
          <w:color w:val="5E6B78"/>
          <w:sz w:val="19"/>
          <w:szCs w:val="19"/>
        </w:rPr>
        <w:t xml:space="preserve">V1.5 is intentionally under-specified because it is gated on V1 evidence and retailer-specific technical proof. It is a user-initiated recovery path, not cross-app surveillance.</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EEF4F8"/>
            <w:tcMar>
              <w:top w:type="dxa" w:w="110"/>
              <w:left w:type="dxa" w:w="160"/>
              <w:bottom w:type="dxa" w:w="110"/>
              <w:right w:type="dxa" w:w="160"/>
            </w:tcMar>
          </w:tcPr>
          <w:p>
            <w:pPr>
              <w:spacing w:after="0" w:line="254"/>
            </w:pPr>
            <w:r>
              <w:rPr>
                <w:rFonts w:ascii="Aptos" w:cs="Aptos" w:eastAsia="Aptos" w:hAnsi="Aptos"/>
                <w:b/>
                <w:bCs/>
                <w:color w:val="17365D"/>
                <w:sz w:val="17"/>
                <w:szCs w:val="17"/>
              </w:rPr>
              <w:t xml:space="preserve">V1.5, GATED  </w:t>
            </w:r>
            <w:r>
              <w:rPr>
                <w:rFonts w:ascii="Aptos" w:cs="Aptos" w:eastAsia="Aptos" w:hAnsi="Aptos"/>
                <w:color w:val="17212B"/>
                <w:sz w:val="18"/>
                <w:szCs w:val="18"/>
              </w:rPr>
              <w:t xml:space="preserve">User-initiated "Continue with CashKaro" from a supported owned surface or share sheet → resolve context where technically supported → user confirms tracked handoff. No retailer-app observation, cart-preservation promise, automatic detection, or cross-app monitoring.</w:t>
            </w:r>
          </w:p>
        </w:tc>
      </w:tr>
    </w:tbl>
    <w:p>
      <w:pPr>
        <w:spacing w:after="80"/>
      </w:pPr>
    </w:p>
    <w:tbl>
      <w:tblPr>
        <w:tblW w:type="dxa" w:w="9994"/>
        <w:tblBorders>
          <w:top w:val="none"/>
          <w:left w:val="none"/>
          <w:bottom w:val="none"/>
          <w:right w:val="none"/>
          <w:insideH w:val="single" w:color="auto" w:sz="4"/>
          <w:insideV w:val="single" w:color="auto" w:sz="4"/>
        </w:tblBorders>
      </w:tblPr>
      <w:tblGrid>
        <w:gridCol w:w="100"/>
        <w:gridCol w:w="100"/>
        <w:gridCol w:w="100"/>
      </w:tblGrid>
      <w:tr>
        <w:trPr>
          <w:cantSplit/>
        </w:trPr>
        <w:tc>
          <w:tcPr>
            <w:tcW w:type="dxa" w:w="3297"/>
            <w:tcBorders>
              <w:top w:val="none"/>
              <w:left w:val="none"/>
              <w:bottom w:val="none"/>
              <w:right w:val="none"/>
            </w:tcBorders>
          </w:tcPr>
          <w:p/>
        </w:tc>
        <w:tc>
          <w:tcPr>
            <w:tcW w:type="dxa" w:w="3400"/>
            <w:tcBorders>
              <w:top w:val="single" w:color="0B1F3A" w:sz="8"/>
              <w:left w:val="single" w:color="0B1F3A" w:sz="8"/>
              <w:bottom w:val="single" w:color="0B1F3A" w:sz="8"/>
              <w:right w:val="single" w:color="0B1F3A" w:sz="8"/>
            </w:tcBorders>
            <w:shd w:fill="FFFFFF"/>
            <w:tcMar>
              <w:top w:type="dxa" w:w="160"/>
              <w:left w:type="dxa" w:w="140"/>
              <w:bottom w:type="dxa" w:w="160"/>
              <w:right w:type="dxa" w:w="140"/>
            </w:tcMar>
          </w:tcPr>
          <w:p>
            <w:pPr>
              <w:spacing w:after="60"/>
              <w:jc w:val="center"/>
            </w:pPr>
            <w:r>
              <w:rPr>
                <w:rFonts w:ascii="Aptos" w:cs="Aptos" w:eastAsia="Aptos" w:hAnsi="Aptos"/>
                <w:color w:val="5E6B78"/>
                <w:sz w:val="12"/>
                <w:szCs w:val="12"/>
              </w:rPr>
              <w:t xml:space="preserve">••• Share sheet</w:t>
            </w:r>
          </w:p>
          <w:p>
            <w:pPr>
              <w:spacing w:after="40"/>
              <w:jc w:val="center"/>
            </w:pPr>
            <w:r>
              <w:rPr>
                <w:rFonts w:ascii="Aptos" w:cs="Aptos" w:eastAsia="Aptos" w:hAnsi="Aptos"/>
                <w:b/>
                <w:bCs/>
                <w:color w:val="147D88"/>
                <w:sz w:val="20"/>
                <w:szCs w:val="20"/>
              </w:rPr>
              <w:t xml:space="preserve">cashkaro</w:t>
            </w:r>
          </w:p>
          <w:p>
            <w:pPr>
              <w:spacing w:after="60"/>
              <w:jc w:val="center"/>
            </w:pPr>
            <w:r>
              <w:rPr>
                <w:rFonts w:ascii="Aptos" w:cs="Aptos" w:eastAsia="Aptos" w:hAnsi="Aptos"/>
                <w:b/>
                <w:bCs/>
                <w:color w:val="17365D"/>
                <w:sz w:val="15"/>
                <w:szCs w:val="15"/>
              </w:rPr>
              <w:t xml:space="preserve">Continue with CashKaro?</w:t>
            </w:r>
          </w:p>
          <w:p>
            <w:pPr>
              <w:shd w:fill="147D88"/>
              <w:spacing w:after="40" w:before="40"/>
              <w:jc w:val="center"/>
            </w:pPr>
            <w:r>
              <w:rPr>
                <w:rFonts w:ascii="Aptos" w:cs="Aptos" w:eastAsia="Aptos" w:hAnsi="Aptos"/>
                <w:b/>
                <w:bCs/>
                <w:color w:val="FFFFFF"/>
                <w:sz w:val="12"/>
                <w:szCs w:val="12"/>
              </w:rPr>
              <w:t xml:space="preserve">CONFIRM TRACKED HANDOFF</w:t>
            </w:r>
          </w:p>
          <w:p>
            <w:pPr>
              <w:jc w:val="center"/>
            </w:pPr>
            <w:r>
              <w:rPr>
                <w:rFonts w:ascii="Aptos" w:cs="Aptos" w:eastAsia="Aptos" w:hAnsi="Aptos"/>
                <w:color w:val="5E6B78"/>
                <w:sz w:val="12"/>
                <w:szCs w:val="12"/>
              </w:rPr>
              <w:t xml:space="preserve">Not now</w:t>
            </w:r>
          </w:p>
          <w:p>
            <w:pPr>
              <w:spacing w:before="80"/>
              <w:jc w:val="center"/>
            </w:pPr>
            <w:r>
              <w:rPr>
                <w:rFonts w:ascii="Aptos" w:cs="Aptos" w:eastAsia="Aptos" w:hAnsi="Aptos"/>
                <w:i/>
                <w:iCs/>
                <w:color w:val="5E6B78"/>
                <w:sz w:val="11"/>
                <w:szCs w:val="11"/>
              </w:rPr>
              <w:t xml:space="preserve">User-initiated only — illustrative</w:t>
            </w:r>
          </w:p>
        </w:tc>
        <w:tc>
          <w:tcPr>
            <w:tcW w:type="dxa" w:w="3297"/>
            <w:tcBorders>
              <w:top w:val="none"/>
              <w:left w:val="none"/>
              <w:bottom w:val="none"/>
              <w:right w:val="none"/>
            </w:tcBorders>
          </w:tcPr>
          <w:p/>
        </w:tc>
      </w:tr>
    </w:tbl>
    <w:p>
      <w:pPr>
        <w:spacing w:after="140" w:before="0"/>
      </w:pPr>
      <w:r>
        <w:rPr>
          <w:rFonts w:ascii="Aptos" w:cs="Aptos" w:eastAsia="Aptos" w:hAnsi="Aptos"/>
          <w:i/>
          <w:iCs/>
          <w:color w:val="5E6B78"/>
          <w:sz w:val="17"/>
          <w:szCs w:val="17"/>
        </w:rPr>
        <w:t xml:space="preserve">Figure 2b. Illustrative V1.5 recovery moment — user-initiated from a share sheet or owned surface only; no automatic detection.</w:t>
      </w:r>
    </w:p>
    <w:p>
      <w:pPr>
        <w:pStyle w:val="Heading1"/>
        <w:keepNext/>
        <w:spacing w:after="140" w:before="260"/>
      </w:pPr>
      <w:r>
        <w:rPr>
          <w:rFonts w:ascii="Aptos" w:cs="Aptos" w:eastAsia="Aptos" w:hAnsi="Aptos"/>
          <w:b/>
          <w:bCs/>
          <w:color w:val="17365D"/>
          <w:sz w:val="31"/>
          <w:szCs w:val="31"/>
        </w:rPr>
        <w:t xml:space="preserve">5. Intent Router experience and technical architecture</w:t>
      </w:r>
    </w:p>
    <w:p>
      <w:pPr>
        <w:pStyle w:val="Heading2"/>
        <w:keepNext/>
        <w:spacing w:after="90" w:before="0"/>
      </w:pPr>
      <w:r>
        <w:rPr>
          <w:rFonts w:ascii="Aptos" w:cs="Aptos" w:eastAsia="Aptos" w:hAnsi="Aptos"/>
          <w:b/>
          <w:bCs/>
          <w:color w:val="2E74B5"/>
          <w:sz w:val="23"/>
          <w:szCs w:val="23"/>
        </w:rPr>
        <w:t xml:space="preserve">Experience: who, when, why, what happens next</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tblGrid>
      <w:tr>
        <w:trPr>
          <w:cantSplit/>
          <w:tblHeader/>
        </w:trPr>
        <w:tc>
          <w:tcPr>
            <w:tcW w:type="dxa" w:w="1159"/>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Step</w:t>
            </w:r>
          </w:p>
        </w:tc>
        <w:tc>
          <w:tcPr>
            <w:tcW w:type="dxa" w:w="3693"/>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User experience</w:t>
            </w:r>
          </w:p>
        </w:tc>
        <w:tc>
          <w:tcPr>
            <w:tcW w:type="dxa" w:w="5142"/>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System behavior / constraint</w:t>
            </w:r>
          </w:p>
        </w:tc>
      </w:tr>
      <w:tr>
        <w:trPr>
          <w:cantSplit/>
        </w:trPr>
        <w:tc>
          <w:tcPr>
            <w:tcW w:type="dxa" w:w="115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1. Detect</w:t>
            </w:r>
          </w:p>
        </w:tc>
        <w:tc>
          <w:tcPr>
            <w:tcW w:type="dxa" w:w="3693"/>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User visits a supported retailer domain. No popup at checkout or after suppression.</w:t>
            </w:r>
          </w:p>
        </w:tc>
        <w:tc>
          <w:tcPr>
            <w:tcW w:type="dxa" w:w="514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Signed, versioned retailer configuration; local domain match only.</w:t>
            </w:r>
          </w:p>
        </w:tc>
      </w:tr>
      <w:tr>
        <w:trPr>
          <w:cantSplit/>
        </w:trPr>
        <w:tc>
          <w:tcPr>
            <w:tcW w:type="dxa" w:w="115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2. Qualify</w:t>
            </w:r>
          </w:p>
        </w:tc>
        <w:tc>
          <w:tcPr>
            <w:tcW w:type="dxa" w:w="3693"/>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Prompt only if treated, logged in/consented, and eligible.</w:t>
            </w:r>
          </w:p>
        </w:tc>
        <w:tc>
          <w:tcPr>
            <w:tcW w:type="dxa" w:w="514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Experiment assignment, opaque segment eligibility, frequency cap, policy returned server-side.</w:t>
            </w:r>
          </w:p>
        </w:tc>
      </w:tr>
      <w:tr>
        <w:trPr>
          <w:cantSplit/>
        </w:trPr>
        <w:tc>
          <w:tcPr>
            <w:tcW w:type="dxa" w:w="115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3. Explain</w:t>
            </w:r>
          </w:p>
        </w:tc>
        <w:tc>
          <w:tcPr>
            <w:tcW w:type="dxa" w:w="3693"/>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"Cashback available at [retailer]. Activate CashKaro." Rate, terms, expectation shown.</w:t>
            </w:r>
          </w:p>
        </w:tc>
        <w:tc>
          <w:tcPr>
            <w:tcW w:type="dxa" w:w="514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Stale configuration fails closed.</w:t>
            </w:r>
          </w:p>
        </w:tc>
      </w:tr>
      <w:tr>
        <w:trPr>
          <w:cantSplit/>
        </w:trPr>
        <w:tc>
          <w:tcPr>
            <w:tcW w:type="dxa" w:w="115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4. Activate</w:t>
            </w:r>
          </w:p>
        </w:tc>
        <w:tc>
          <w:tcPr>
            <w:tcW w:type="dxa" w:w="3693"/>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One explicit action opens the tracked path and returns to a supported destination.</w:t>
            </w:r>
          </w:p>
        </w:tc>
        <w:tc>
          <w:tcPr>
            <w:tcW w:type="dxa" w:w="514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Click ID created; existing referral/attribution blocks activation.</w:t>
            </w:r>
          </w:p>
        </w:tc>
      </w:tr>
      <w:tr>
        <w:trPr>
          <w:cantSplit/>
        </w:trPr>
        <w:tc>
          <w:tcPr>
            <w:tcW w:type="dxa" w:w="115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5. Confirm</w:t>
            </w:r>
          </w:p>
        </w:tc>
        <w:tc>
          <w:tcPr>
            <w:tcW w:type="dxa" w:w="3693"/>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User sees activation and later a tracking-status expectation.</w:t>
            </w:r>
          </w:p>
        </w:tc>
        <w:tc>
          <w:tcPr>
            <w:tcW w:type="dxa" w:w="514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Partner postback reconciles click ID; unreconciled IDs enter a timeout bucket, excluded from primary ITT until resolved.</w:t>
            </w:r>
          </w:p>
        </w:tc>
      </w:tr>
    </w:tbl>
    <w:p>
      <w:pPr>
        <w:spacing w:after="100"/>
      </w:pPr>
    </w:p>
    <w:p>
      <w:pPr>
        <w:pStyle w:val="Heading2"/>
        <w:keepNext/>
        <w:spacing w:after="90" w:before="200"/>
      </w:pPr>
      <w:r>
        <w:rPr>
          <w:rFonts w:ascii="Aptos" w:cs="Aptos" w:eastAsia="Aptos" w:hAnsi="Aptos"/>
          <w:b/>
          <w:bCs/>
          <w:color w:val="2E74B5"/>
          <w:sz w:val="23"/>
          <w:szCs w:val="23"/>
        </w:rPr>
        <w:t xml:space="preserve">Architecture flow</w:t>
      </w:r>
    </w:p>
    <w:p>
      <w:pPr>
        <w:spacing w:after="60"/>
      </w:pPr>
      <w:r>
        <w:rPr>
          <w:rFonts w:ascii="Aptos" w:cs="Aptos" w:eastAsia="Aptos" w:hAnsi="Aptos"/>
          <w:b/>
          <w:bCs/>
          <w:color w:val="5E6B78"/>
          <w:sz w:val="14"/>
          <w:szCs w:val="14"/>
        </w:rPr>
        <w:t xml:space="preserve">User path</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cantSplit/>
        </w:trPr>
        <w:tc>
          <w:tcPr>
            <w:tcW w:type="dxa" w:w="1452"/>
            <w:shd w:fill="E8F3FA"/>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User</w:t>
            </w:r>
          </w:p>
        </w:tc>
        <w:tc>
          <w:tcPr>
            <w:tcW w:type="dxa" w:w="255"/>
            <w:tcBorders>
              <w:top w:val="none"/>
              <w:left w:val="none"/>
              <w:bottom w:val="none"/>
              <w:right w:val="none"/>
            </w:tcBorders>
            <w:vAlign w:val="center"/>
          </w:tcPr>
          <w:p>
            <w:pPr>
              <w:spacing w:after="0"/>
              <w:jc w:val="center"/>
            </w:pPr>
            <w:r>
              <w:rPr>
                <w:rFonts w:ascii="Aptos" w:cs="Aptos" w:eastAsia="Aptos" w:hAnsi="Aptos"/>
                <w:b/>
                <w:bCs/>
                <w:color w:val="147D88"/>
                <w:sz w:val="20"/>
                <w:szCs w:val="20"/>
              </w:rPr>
              <w:t xml:space="preserve">→</w:t>
            </w:r>
          </w:p>
        </w:tc>
        <w:tc>
          <w:tcPr>
            <w:tcW w:type="dxa" w:w="1452"/>
            <w:shd w:fill="E8F3FA"/>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Extension</w:t>
            </w:r>
          </w:p>
        </w:tc>
        <w:tc>
          <w:tcPr>
            <w:tcW w:type="dxa" w:w="255"/>
            <w:tcBorders>
              <w:top w:val="none"/>
              <w:left w:val="none"/>
              <w:bottom w:val="none"/>
              <w:right w:val="none"/>
            </w:tcBorders>
            <w:vAlign w:val="center"/>
          </w:tcPr>
          <w:p>
            <w:pPr>
              <w:spacing w:after="0"/>
              <w:jc w:val="center"/>
            </w:pPr>
            <w:r>
              <w:rPr>
                <w:rFonts w:ascii="Aptos" w:cs="Aptos" w:eastAsia="Aptos" w:hAnsi="Aptos"/>
                <w:b/>
                <w:bCs/>
                <w:color w:val="147D88"/>
                <w:sz w:val="20"/>
                <w:szCs w:val="20"/>
              </w:rPr>
              <w:t xml:space="preserve">→</w:t>
            </w:r>
          </w:p>
        </w:tc>
        <w:tc>
          <w:tcPr>
            <w:tcW w:type="dxa" w:w="1452"/>
            <w:shd w:fill="E8F3FA"/>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Prompt</w:t>
            </w:r>
          </w:p>
        </w:tc>
        <w:tc>
          <w:tcPr>
            <w:tcW w:type="dxa" w:w="255"/>
            <w:tcBorders>
              <w:top w:val="none"/>
              <w:left w:val="none"/>
              <w:bottom w:val="none"/>
              <w:right w:val="none"/>
            </w:tcBorders>
            <w:vAlign w:val="center"/>
          </w:tcPr>
          <w:p>
            <w:pPr>
              <w:spacing w:after="0"/>
              <w:jc w:val="center"/>
            </w:pPr>
            <w:r>
              <w:rPr>
                <w:rFonts w:ascii="Aptos" w:cs="Aptos" w:eastAsia="Aptos" w:hAnsi="Aptos"/>
                <w:b/>
                <w:bCs/>
                <w:color w:val="147D88"/>
                <w:sz w:val="20"/>
                <w:szCs w:val="20"/>
              </w:rPr>
              <w:t xml:space="preserve">→</w:t>
            </w:r>
          </w:p>
        </w:tc>
        <w:tc>
          <w:tcPr>
            <w:tcW w:type="dxa" w:w="1452"/>
            <w:shd w:fill="E8F3FA"/>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Activation</w:t>
            </w:r>
          </w:p>
        </w:tc>
        <w:tc>
          <w:tcPr>
            <w:tcW w:type="dxa" w:w="255"/>
            <w:tcBorders>
              <w:top w:val="none"/>
              <w:left w:val="none"/>
              <w:bottom w:val="none"/>
              <w:right w:val="none"/>
            </w:tcBorders>
            <w:vAlign w:val="center"/>
          </w:tcPr>
          <w:p>
            <w:pPr>
              <w:spacing w:after="0"/>
              <w:jc w:val="center"/>
            </w:pPr>
            <w:r>
              <w:rPr>
                <w:rFonts w:ascii="Aptos" w:cs="Aptos" w:eastAsia="Aptos" w:hAnsi="Aptos"/>
                <w:b/>
                <w:bCs/>
                <w:color w:val="147D88"/>
                <w:sz w:val="20"/>
                <w:szCs w:val="20"/>
              </w:rPr>
              <w:t xml:space="preserve">→</w:t>
            </w:r>
          </w:p>
        </w:tc>
        <w:tc>
          <w:tcPr>
            <w:tcW w:type="dxa" w:w="1452"/>
            <w:shd w:fill="E8F3FA"/>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Retailer journey</w:t>
            </w:r>
          </w:p>
        </w:tc>
        <w:tc>
          <w:tcPr>
            <w:tcW w:type="dxa" w:w="255"/>
            <w:tcBorders>
              <w:top w:val="none"/>
              <w:left w:val="none"/>
              <w:bottom w:val="none"/>
              <w:right w:val="none"/>
            </w:tcBorders>
            <w:vAlign w:val="center"/>
          </w:tcPr>
          <w:p>
            <w:pPr>
              <w:spacing w:after="0"/>
              <w:jc w:val="center"/>
            </w:pPr>
            <w:r>
              <w:rPr>
                <w:rFonts w:ascii="Aptos" w:cs="Aptos" w:eastAsia="Aptos" w:hAnsi="Aptos"/>
                <w:b/>
                <w:bCs/>
                <w:color w:val="147D88"/>
                <w:sz w:val="20"/>
                <w:szCs w:val="20"/>
              </w:rPr>
              <w:t xml:space="preserve">→</w:t>
            </w:r>
          </w:p>
        </w:tc>
        <w:tc>
          <w:tcPr>
            <w:tcW w:type="dxa" w:w="1452"/>
            <w:shd w:fill="E8F3FA"/>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Tracking status</w:t>
            </w:r>
          </w:p>
        </w:tc>
      </w:tr>
    </w:tbl>
    <w:p>
      <w:pPr>
        <w:spacing w:after="80"/>
      </w:pPr>
    </w:p>
    <w:p>
      <w:pPr>
        <w:spacing w:after="60"/>
      </w:pPr>
      <w:r>
        <w:rPr>
          <w:rFonts w:ascii="Aptos" w:cs="Aptos" w:eastAsia="Aptos" w:hAnsi="Aptos"/>
          <w:b/>
          <w:bCs/>
          <w:color w:val="5E6B78"/>
          <w:sz w:val="14"/>
          <w:szCs w:val="14"/>
        </w:rPr>
        <w:t xml:space="preserve">Decision path (server-side)</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gridCol w:w="100"/>
        <w:gridCol w:w="100"/>
        <w:gridCol w:w="100"/>
        <w:gridCol w:w="100"/>
      </w:tblGrid>
      <w:tr>
        <w:trPr>
          <w:cantSplit/>
        </w:trPr>
        <w:tc>
          <w:tcPr>
            <w:tcW w:type="dxa" w:w="2283"/>
            <w:shd w:fill="EEF4F8"/>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Consent + domain</w:t>
            </w:r>
          </w:p>
        </w:tc>
        <w:tc>
          <w:tcPr>
            <w:tcW w:type="dxa" w:w="287"/>
            <w:tcBorders>
              <w:top w:val="none"/>
              <w:left w:val="none"/>
              <w:bottom w:val="none"/>
              <w:right w:val="none"/>
            </w:tcBorders>
            <w:vAlign w:val="center"/>
          </w:tcPr>
          <w:p>
            <w:pPr>
              <w:spacing w:after="0"/>
              <w:jc w:val="center"/>
            </w:pPr>
            <w:r>
              <w:rPr>
                <w:rFonts w:ascii="Aptos" w:cs="Aptos" w:eastAsia="Aptos" w:hAnsi="Aptos"/>
                <w:b/>
                <w:bCs/>
                <w:color w:val="147D88"/>
                <w:sz w:val="20"/>
                <w:szCs w:val="20"/>
              </w:rPr>
              <w:t xml:space="preserve">→</w:t>
            </w:r>
          </w:p>
        </w:tc>
        <w:tc>
          <w:tcPr>
            <w:tcW w:type="dxa" w:w="2283"/>
            <w:shd w:fill="EEF4F8"/>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Assignment + eligibility</w:t>
            </w:r>
          </w:p>
        </w:tc>
        <w:tc>
          <w:tcPr>
            <w:tcW w:type="dxa" w:w="287"/>
            <w:tcBorders>
              <w:top w:val="none"/>
              <w:left w:val="none"/>
              <w:bottom w:val="none"/>
              <w:right w:val="none"/>
            </w:tcBorders>
            <w:vAlign w:val="center"/>
          </w:tcPr>
          <w:p>
            <w:pPr>
              <w:spacing w:after="0"/>
              <w:jc w:val="center"/>
            </w:pPr>
            <w:r>
              <w:rPr>
                <w:rFonts w:ascii="Aptos" w:cs="Aptos" w:eastAsia="Aptos" w:hAnsi="Aptos"/>
                <w:b/>
                <w:bCs/>
                <w:color w:val="147D88"/>
                <w:sz w:val="20"/>
                <w:szCs w:val="20"/>
              </w:rPr>
              <w:t xml:space="preserve">→</w:t>
            </w:r>
          </w:p>
        </w:tc>
        <w:tc>
          <w:tcPr>
            <w:tcW w:type="dxa" w:w="2283"/>
            <w:shd w:fill="EEF4F8"/>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Policy engine</w:t>
            </w:r>
          </w:p>
        </w:tc>
        <w:tc>
          <w:tcPr>
            <w:tcW w:type="dxa" w:w="287"/>
            <w:tcBorders>
              <w:top w:val="none"/>
              <w:left w:val="none"/>
              <w:bottom w:val="none"/>
              <w:right w:val="none"/>
            </w:tcBorders>
            <w:vAlign w:val="center"/>
          </w:tcPr>
          <w:p>
            <w:pPr>
              <w:spacing w:after="0"/>
              <w:jc w:val="center"/>
            </w:pPr>
            <w:r>
              <w:rPr>
                <w:rFonts w:ascii="Aptos" w:cs="Aptos" w:eastAsia="Aptos" w:hAnsi="Aptos"/>
                <w:b/>
                <w:bCs/>
                <w:color w:val="147D88"/>
                <w:sz w:val="20"/>
                <w:szCs w:val="20"/>
              </w:rPr>
              <w:t xml:space="preserve">→</w:t>
            </w:r>
          </w:p>
        </w:tc>
        <w:tc>
          <w:tcPr>
            <w:tcW w:type="dxa" w:w="2283"/>
            <w:shd w:fill="EEF4F8"/>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Show / suppress</w:t>
            </w:r>
          </w:p>
        </w:tc>
      </w:tr>
    </w:tbl>
    <w:p>
      <w:pPr>
        <w:spacing w:after="80"/>
      </w:pPr>
    </w:p>
    <w:p>
      <w:pPr>
        <w:spacing w:after="60"/>
      </w:pPr>
      <w:r>
        <w:rPr>
          <w:rFonts w:ascii="Aptos" w:cs="Aptos" w:eastAsia="Aptos" w:hAnsi="Aptos"/>
          <w:b/>
          <w:bCs/>
          <w:color w:val="5E6B78"/>
          <w:sz w:val="14"/>
          <w:szCs w:val="14"/>
        </w:rPr>
        <w:t xml:space="preserve">Data path</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cantSplit/>
        </w:trPr>
        <w:tc>
          <w:tcPr>
            <w:tcW w:type="dxa" w:w="1452"/>
            <w:shd w:fill="F1EAF9"/>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Activation</w:t>
            </w:r>
          </w:p>
        </w:tc>
        <w:tc>
          <w:tcPr>
            <w:tcW w:type="dxa" w:w="255"/>
            <w:tcBorders>
              <w:top w:val="none"/>
              <w:left w:val="none"/>
              <w:bottom w:val="none"/>
              <w:right w:val="none"/>
            </w:tcBorders>
            <w:vAlign w:val="center"/>
          </w:tcPr>
          <w:p>
            <w:pPr>
              <w:spacing w:after="0"/>
              <w:jc w:val="center"/>
            </w:pPr>
            <w:r>
              <w:rPr>
                <w:rFonts w:ascii="Aptos" w:cs="Aptos" w:eastAsia="Aptos" w:hAnsi="Aptos"/>
                <w:b/>
                <w:bCs/>
                <w:color w:val="147D88"/>
                <w:sz w:val="20"/>
                <w:szCs w:val="20"/>
              </w:rPr>
              <w:t xml:space="preserve">→</w:t>
            </w:r>
          </w:p>
        </w:tc>
        <w:tc>
          <w:tcPr>
            <w:tcW w:type="dxa" w:w="1452"/>
            <w:shd w:fill="F1EAF9"/>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Click ID</w:t>
            </w:r>
          </w:p>
        </w:tc>
        <w:tc>
          <w:tcPr>
            <w:tcW w:type="dxa" w:w="255"/>
            <w:tcBorders>
              <w:top w:val="none"/>
              <w:left w:val="none"/>
              <w:bottom w:val="none"/>
              <w:right w:val="none"/>
            </w:tcBorders>
            <w:vAlign w:val="center"/>
          </w:tcPr>
          <w:p>
            <w:pPr>
              <w:spacing w:after="0"/>
              <w:jc w:val="center"/>
            </w:pPr>
            <w:r>
              <w:rPr>
                <w:rFonts w:ascii="Aptos" w:cs="Aptos" w:eastAsia="Aptos" w:hAnsi="Aptos"/>
                <w:b/>
                <w:bCs/>
                <w:color w:val="147D88"/>
                <w:sz w:val="20"/>
                <w:szCs w:val="20"/>
              </w:rPr>
              <w:t xml:space="preserve">→</w:t>
            </w:r>
          </w:p>
        </w:tc>
        <w:tc>
          <w:tcPr>
            <w:tcW w:type="dxa" w:w="1452"/>
            <w:shd w:fill="F1EAF9"/>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Affiliate redirect</w:t>
            </w:r>
          </w:p>
        </w:tc>
        <w:tc>
          <w:tcPr>
            <w:tcW w:type="dxa" w:w="255"/>
            <w:tcBorders>
              <w:top w:val="none"/>
              <w:left w:val="none"/>
              <w:bottom w:val="none"/>
              <w:right w:val="none"/>
            </w:tcBorders>
            <w:vAlign w:val="center"/>
          </w:tcPr>
          <w:p>
            <w:pPr>
              <w:spacing w:after="0"/>
              <w:jc w:val="center"/>
            </w:pPr>
            <w:r>
              <w:rPr>
                <w:rFonts w:ascii="Aptos" w:cs="Aptos" w:eastAsia="Aptos" w:hAnsi="Aptos"/>
                <w:b/>
                <w:bCs/>
                <w:color w:val="147D88"/>
                <w:sz w:val="20"/>
                <w:szCs w:val="20"/>
              </w:rPr>
              <w:t xml:space="preserve">→</w:t>
            </w:r>
          </w:p>
        </w:tc>
        <w:tc>
          <w:tcPr>
            <w:tcW w:type="dxa" w:w="1452"/>
            <w:shd w:fill="F1EAF9"/>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Partner postback</w:t>
            </w:r>
          </w:p>
        </w:tc>
        <w:tc>
          <w:tcPr>
            <w:tcW w:type="dxa" w:w="255"/>
            <w:tcBorders>
              <w:top w:val="none"/>
              <w:left w:val="none"/>
              <w:bottom w:val="none"/>
              <w:right w:val="none"/>
            </w:tcBorders>
            <w:vAlign w:val="center"/>
          </w:tcPr>
          <w:p>
            <w:pPr>
              <w:spacing w:after="0"/>
              <w:jc w:val="center"/>
            </w:pPr>
            <w:r>
              <w:rPr>
                <w:rFonts w:ascii="Aptos" w:cs="Aptos" w:eastAsia="Aptos" w:hAnsi="Aptos"/>
                <w:b/>
                <w:bCs/>
                <w:color w:val="147D88"/>
                <w:sz w:val="20"/>
                <w:szCs w:val="20"/>
              </w:rPr>
              <w:t xml:space="preserve">→</w:t>
            </w:r>
          </w:p>
        </w:tc>
        <w:tc>
          <w:tcPr>
            <w:tcW w:type="dxa" w:w="1452"/>
            <w:shd w:fill="F1EAF9"/>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Order/support status</w:t>
            </w:r>
          </w:p>
        </w:tc>
        <w:tc>
          <w:tcPr>
            <w:tcW w:type="dxa" w:w="255"/>
            <w:tcBorders>
              <w:top w:val="none"/>
              <w:left w:val="none"/>
              <w:bottom w:val="none"/>
              <w:right w:val="none"/>
            </w:tcBorders>
            <w:vAlign w:val="center"/>
          </w:tcPr>
          <w:p>
            <w:pPr>
              <w:spacing w:after="0"/>
              <w:jc w:val="center"/>
            </w:pPr>
            <w:r>
              <w:rPr>
                <w:rFonts w:ascii="Aptos" w:cs="Aptos" w:eastAsia="Aptos" w:hAnsi="Aptos"/>
                <w:b/>
                <w:bCs/>
                <w:color w:val="147D88"/>
                <w:sz w:val="20"/>
                <w:szCs w:val="20"/>
              </w:rPr>
              <w:t xml:space="preserve">→</w:t>
            </w:r>
          </w:p>
        </w:tc>
        <w:tc>
          <w:tcPr>
            <w:tcW w:type="dxa" w:w="1452"/>
            <w:shd w:fill="F1EAF9"/>
            <w:tcMar>
              <w:top w:type="dxa" w:w="90"/>
              <w:left w:type="dxa" w:w="80"/>
              <w:bottom w:type="dxa" w:w="90"/>
              <w:right w:type="dxa" w:w="80"/>
            </w:tcMar>
            <w:vAlign w:val="center"/>
          </w:tcPr>
          <w:p>
            <w:pPr>
              <w:spacing w:after="0" w:line="220"/>
              <w:jc w:val="center"/>
            </w:pPr>
            <w:r>
              <w:rPr>
                <w:rFonts w:ascii="Aptos" w:cs="Aptos" w:eastAsia="Aptos" w:hAnsi="Aptos"/>
                <w:b/>
                <w:bCs/>
                <w:color w:val="17365D"/>
                <w:sz w:val="13"/>
                <w:szCs w:val="13"/>
              </w:rPr>
              <w:t xml:space="preserve">Experiment analysis</w:t>
            </w:r>
          </w:p>
        </w:tc>
      </w:tr>
    </w:tbl>
    <w:p>
      <w:pPr>
        <w:spacing w:after="140" w:before="0"/>
      </w:pPr>
      <w:r>
        <w:rPr>
          <w:rFonts w:ascii="Aptos" w:cs="Aptos" w:eastAsia="Aptos" w:hAnsi="Aptos"/>
          <w:i/>
          <w:iCs/>
          <w:color w:val="5E6B78"/>
          <w:sz w:val="17"/>
          <w:szCs w:val="17"/>
        </w:rPr>
        <w:t xml:space="preserve">Figure 3. User, decision, and data flows are intentionally separated. Assignment occurs before prompt exposure; the partner/network returns a postback asynchronously to tracking, which reconciles the order and updates support status.</w:t>
      </w:r>
    </w:p>
    <w:p>
      <w:r>
        <w:br w:type="page"/>
      </w:r>
    </w:p>
    <w:p>
      <w:pPr>
        <w:pStyle w:val="Heading2"/>
        <w:keepNext/>
        <w:spacing w:after="90" w:before="0"/>
      </w:pPr>
      <w:r>
        <w:rPr>
          <w:rFonts w:ascii="Aptos" w:cs="Aptos" w:eastAsia="Aptos" w:hAnsi="Aptos"/>
          <w:b/>
          <w:bCs/>
          <w:color w:val="2E74B5"/>
          <w:sz w:val="23"/>
          <w:szCs w:val="23"/>
        </w:rPr>
        <w:t xml:space="preserve">Cross-functional V1 dependencies</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tblGrid>
      <w:tr>
        <w:trPr>
          <w:cantSplit/>
          <w:tblHeader/>
        </w:trPr>
        <w:tc>
          <w:tcPr>
            <w:tcW w:type="dxa" w:w="2535"/>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Function</w:t>
            </w:r>
          </w:p>
        </w:tc>
        <w:tc>
          <w:tcPr>
            <w:tcW w:type="dxa" w:w="7459"/>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Dependency that must be ready</w:t>
            </w:r>
          </w:p>
        </w:tc>
      </w:tr>
      <w:tr>
        <w:trPr>
          <w:cantSplit/>
        </w:trPr>
        <w:tc>
          <w:tcPr>
            <w:tcW w:type="dxa" w:w="253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PM</w:t>
            </w:r>
          </w:p>
        </w:tc>
        <w:tc>
          <w:tcPr>
            <w:tcW w:type="dxa" w:w="745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Scope, decision gates, launch checklist, and scale/iterate/kill recommendation.</w:t>
            </w:r>
          </w:p>
        </w:tc>
      </w:tr>
      <w:tr>
        <w:trPr>
          <w:cantSplit/>
        </w:trPr>
        <w:tc>
          <w:tcPr>
            <w:tcW w:type="dxa" w:w="253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Engineering</w:t>
            </w:r>
          </w:p>
        </w:tc>
        <w:tc>
          <w:tcPr>
            <w:tcW w:type="dxa" w:w="745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Extension, eligibility API, click ID, versioned config, and configuration rollback.</w:t>
            </w:r>
          </w:p>
        </w:tc>
      </w:tr>
      <w:tr>
        <w:trPr>
          <w:cantSplit/>
        </w:trPr>
        <w:tc>
          <w:tcPr>
            <w:tcW w:type="dxa" w:w="253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Partnerships</w:t>
            </w:r>
          </w:p>
        </w:tc>
        <w:tc>
          <w:tcPr>
            <w:tcW w:type="dxa" w:w="745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Retailer allowlist, terms, attribution precedence, postback verification, partner off switch.</w:t>
            </w:r>
          </w:p>
        </w:tc>
      </w:tr>
      <w:tr>
        <w:trPr>
          <w:cantSplit/>
        </w:trPr>
        <w:tc>
          <w:tcPr>
            <w:tcW w:type="dxa" w:w="253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Analytics</w:t>
            </w:r>
          </w:p>
        </w:tc>
        <w:tc>
          <w:tcPr>
            <w:tcW w:type="dxa" w:w="745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Persistent assignment, instrumentation, MDE calculation, and ITT readout.</w:t>
            </w:r>
          </w:p>
        </w:tc>
      </w:tr>
      <w:tr>
        <w:trPr>
          <w:cantSplit/>
        </w:trPr>
        <w:tc>
          <w:tcPr>
            <w:tcW w:type="dxa" w:w="2535"/>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Legal / Privacy + Support</w:t>
            </w:r>
          </w:p>
        </w:tc>
        <w:tc>
          <w:tcPr>
            <w:tcW w:type="dxa" w:w="7459"/>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Consent and purpose limitation; tracking-status language, dispute route, escalation playbook.</w:t>
            </w:r>
          </w:p>
        </w:tc>
      </w:tr>
    </w:tbl>
    <w:p>
      <w:pPr>
        <w:spacing w:after="100"/>
      </w:pP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tblGrid>
      <w:tr>
        <w:trPr>
          <w:cantSplit/>
          <w:tblHeader/>
        </w:trPr>
        <w:tc>
          <w:tcPr>
            <w:tcW w:type="dxa" w:w="210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Component</w:t>
            </w:r>
          </w:p>
        </w:tc>
        <w:tc>
          <w:tcPr>
            <w:tcW w:type="dxa" w:w="3838"/>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Responsibility</w:t>
            </w:r>
          </w:p>
        </w:tc>
        <w:tc>
          <w:tcPr>
            <w:tcW w:type="dxa" w:w="4056"/>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Proposed operating target (not observed)</w:t>
            </w:r>
          </w:p>
        </w:tc>
      </w:tr>
      <w:tr>
        <w:trPr>
          <w:cantSplit/>
        </w:trPr>
        <w:tc>
          <w:tcPr>
            <w:tcW w:type="dxa" w:w="2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Retailer configuration</w:t>
            </w:r>
          </w:p>
        </w:tc>
        <w:tc>
          <w:tcPr>
            <w:tcW w:type="dxa" w:w="3838"/>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Allowlist, rates, terms, pages, campaigns, kill switch.</w:t>
            </w:r>
          </w:p>
        </w:tc>
        <w:tc>
          <w:tcPr>
            <w:tcW w:type="dxa" w:w="4056"/>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Freshness monitored; stale/unavailable config disables prompt.</w:t>
            </w:r>
          </w:p>
        </w:tc>
      </w:tr>
      <w:tr>
        <w:trPr>
          <w:cantSplit/>
        </w:trPr>
        <w:tc>
          <w:tcPr>
            <w:tcW w:type="dxa" w:w="2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Experiment &amp; eligibility API</w:t>
            </w:r>
          </w:p>
        </w:tc>
        <w:tc>
          <w:tcPr>
            <w:tcW w:type="dxa" w:w="3838"/>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Persistent assignment, consent, frequency cap, policy decision.</w:t>
            </w:r>
          </w:p>
        </w:tc>
        <w:tc>
          <w:tcPr>
            <w:tcW w:type="dxa" w:w="4056"/>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Stable assignment and auditable holdout; no raw history returned to client.</w:t>
            </w:r>
          </w:p>
        </w:tc>
      </w:tr>
      <w:tr>
        <w:trPr>
          <w:cantSplit/>
        </w:trPr>
        <w:tc>
          <w:tcPr>
            <w:tcW w:type="dxa" w:w="2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Tracking service</w:t>
            </w:r>
          </w:p>
        </w:tc>
        <w:tc>
          <w:tcPr>
            <w:tcW w:type="dxa" w:w="3838"/>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Click ID, approved affiliate route, postback reconciliation.</w:t>
            </w:r>
          </w:p>
        </w:tc>
        <w:tc>
          <w:tcPr>
            <w:tcW w:type="dxa" w:w="4056"/>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Pre-launch test order reconciles activation → postback → order record.</w:t>
            </w:r>
          </w:p>
        </w:tc>
      </w:tr>
      <w:tr>
        <w:trPr>
          <w:cantSplit/>
        </w:trPr>
        <w:tc>
          <w:tcPr>
            <w:tcW w:type="dxa" w:w="2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Observability &amp; support</w:t>
            </w:r>
          </w:p>
        </w:tc>
        <w:tc>
          <w:tcPr>
            <w:tcW w:type="dxa" w:w="3838"/>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Event quality, prompt errors, rate mismatch, delays, status.</w:t>
            </w:r>
          </w:p>
        </w:tc>
        <w:tc>
          <w:tcPr>
            <w:tcW w:type="dxa" w:w="4056"/>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Named owner, alerting, config rollback within minutes; persistent issues escalate.</w:t>
            </w:r>
          </w:p>
        </w:tc>
      </w:tr>
    </w:tbl>
    <w:p>
      <w:pPr>
        <w:spacing w:after="100"/>
      </w:pPr>
    </w:p>
    <w:p>
      <w:pPr>
        <w:pStyle w:val="Heading2"/>
        <w:keepNext/>
        <w:spacing w:after="90" w:before="200"/>
      </w:pPr>
      <w:r>
        <w:rPr>
          <w:rFonts w:ascii="Aptos" w:cs="Aptos" w:eastAsia="Aptos" w:hAnsi="Aptos"/>
          <w:b/>
          <w:bCs/>
          <w:color w:val="2E74B5"/>
          <w:sz w:val="23"/>
          <w:szCs w:val="23"/>
        </w:rPr>
        <w:t xml:space="preserve">Safety, reconciliation, and rollback</w:t>
      </w:r>
    </w:p>
    <w:tbl>
      <w:tblPr>
        <w:tblW w:type="dxa" w:w="9994"/>
        <w:tblBorders>
          <w:top w:val="none"/>
          <w:left w:val="none"/>
          <w:bottom w:val="none"/>
          <w:right w:val="none"/>
          <w:insideH w:val="none"/>
          <w:insideV w:val="none"/>
        </w:tblBorders>
      </w:tblPr>
      <w:tblGrid>
        <w:gridCol w:w="100"/>
        <w:gridCol w:w="100"/>
      </w:tblGrid>
      <w:tr>
        <w:tc>
          <w:tcPr>
            <w:tcW w:type="dxa" w:w="4977"/>
            <w:shd w:fill="FCEAEC"/>
            <w:tcMar>
              <w:top w:type="dxa" w:w="110"/>
              <w:left w:type="dxa" w:w="140"/>
              <w:bottom w:type="dxa" w:w="110"/>
              <w:right w:type="dxa" w:w="140"/>
            </w:tcMar>
          </w:tcPr>
          <w:p>
            <w:pPr>
              <w:spacing w:after="40"/>
            </w:pPr>
            <w:r>
              <w:rPr>
                <w:rFonts w:ascii="Aptos" w:cs="Aptos" w:eastAsia="Aptos" w:hAnsi="Aptos"/>
                <w:b/>
                <w:bCs/>
                <w:color w:val="9B1C1C"/>
                <w:sz w:val="16"/>
                <w:szCs w:val="16"/>
              </w:rPr>
              <w:t xml:space="preserve">ATTRIBUTION SAFETY</w:t>
            </w:r>
          </w:p>
          <w:p>
            <w:pPr>
              <w:spacing w:after="0" w:line="240"/>
            </w:pPr>
            <w:r>
              <w:rPr>
                <w:rFonts w:ascii="Aptos" w:cs="Aptos" w:eastAsia="Aptos" w:hAnsi="Aptos"/>
                <w:color w:val="17212B"/>
                <w:sz w:val="15"/>
                <w:szCs w:val="15"/>
              </w:rPr>
              <w:t xml:space="preserve">Existing referral detected? YES → do not activate router; preserve attribution. NO → continue policy checks. The router must never overwrite a legitimate attribution.</w:t>
            </w:r>
          </w:p>
        </w:tc>
        <w:tc>
          <w:tcPr>
            <w:tcW w:type="dxa" w:w="4977"/>
            <w:shd w:fill="EEF4F8"/>
            <w:tcMar>
              <w:top w:type="dxa" w:w="110"/>
              <w:left w:type="dxa" w:w="140"/>
              <w:bottom w:type="dxa" w:w="110"/>
              <w:right w:type="dxa" w:w="140"/>
            </w:tcMar>
          </w:tcPr>
          <w:p>
            <w:pPr>
              <w:spacing w:after="40"/>
            </w:pPr>
            <w:r>
              <w:rPr>
                <w:rFonts w:ascii="Aptos" w:cs="Aptos" w:eastAsia="Aptos" w:hAnsi="Aptos"/>
                <w:b/>
                <w:bCs/>
                <w:color w:val="17365D"/>
                <w:sz w:val="16"/>
                <w:szCs w:val="16"/>
              </w:rPr>
              <w:t xml:space="preserve">RECONCILIATION + FAILURE STATES</w:t>
            </w:r>
          </w:p>
          <w:p>
            <w:pPr>
              <w:spacing w:after="0" w:line="240"/>
            </w:pPr>
            <w:r>
              <w:rPr>
                <w:rFonts w:ascii="Aptos" w:cs="Aptos" w:eastAsia="Aptos" w:hAnsi="Aptos"/>
                <w:color w:val="17212B"/>
                <w:sz w:val="15"/>
                <w:szCs w:val="15"/>
              </w:rPr>
              <w:t xml:space="preserve">Activation → click ID → redirect → postback → order status. UNRECONCILED after the maturity window is excluded from the primary ITT outcome, reported separately, and escalated.</w:t>
            </w:r>
          </w:p>
        </w:tc>
      </w:tr>
      <w:tr>
        <w:tc>
          <w:p>
            <w:pPr>
              <w:spacing w:after="80"/>
            </w:pPr>
          </w:p>
        </w:tc>
        <w:tc>
          <w:p>
            <w:pPr>
              <w:spacing w:after="80"/>
            </w:pPr>
          </w:p>
        </w:tc>
      </w:tr>
      <w:tr>
        <w:tc>
          <w:tcPr>
            <w:tcW w:type="dxa" w:w="4977"/>
            <w:shd w:fill="EEF4F8"/>
            <w:tcMar>
              <w:top w:type="dxa" w:w="110"/>
              <w:left w:type="dxa" w:w="140"/>
              <w:bottom w:type="dxa" w:w="110"/>
              <w:right w:type="dxa" w:w="140"/>
            </w:tcMar>
          </w:tcPr>
          <w:p>
            <w:pPr>
              <w:spacing w:after="40"/>
            </w:pPr>
            <w:r>
              <w:rPr>
                <w:rFonts w:ascii="Aptos" w:cs="Aptos" w:eastAsia="Aptos" w:hAnsi="Aptos"/>
                <w:b/>
                <w:bCs/>
                <w:color w:val="17365D"/>
                <w:sz w:val="16"/>
                <w:szCs w:val="16"/>
              </w:rPr>
              <w:t xml:space="preserve">ROLLBACK + PRIVACY</w:t>
            </w:r>
          </w:p>
          <w:p>
            <w:pPr>
              <w:spacing w:after="0" w:line="240"/>
            </w:pPr>
            <w:r>
              <w:rPr>
                <w:rFonts w:ascii="Aptos" w:cs="Aptos" w:eastAsia="Aptos" w:hAnsi="Aptos"/>
                <w:color w:val="17212B"/>
                <w:sz w:val="15"/>
                <w:szCs w:val="15"/>
              </w:rPr>
              <w:t xml:space="preserve">Near-real-time configuration rollback disables a retailer, the experiment, or all prompts. V1 excludes cross-app monitoring, raw purchase-history exposure, and background surveillance.</w:t>
            </w:r>
          </w:p>
        </w:tc>
        <w:tc>
          <w:tcPr>
            <w:tcW w:type="dxa" w:w="4977"/>
            <w:shd w:fill="DFEFE7"/>
            <w:tcMar>
              <w:top w:type="dxa" w:w="110"/>
              <w:left w:type="dxa" w:w="140"/>
              <w:bottom w:type="dxa" w:w="110"/>
              <w:right w:type="dxa" w:w="140"/>
            </w:tcMar>
          </w:tcPr>
          <w:p>
            <w:pPr>
              <w:spacing w:after="40"/>
            </w:pPr>
            <w:r>
              <w:rPr>
                <w:rFonts w:ascii="Aptos" w:cs="Aptos" w:eastAsia="Aptos" w:hAnsi="Aptos"/>
                <w:b/>
                <w:bCs/>
                <w:color w:val="2A6B3B"/>
                <w:sz w:val="16"/>
                <w:szCs w:val="16"/>
              </w:rPr>
              <w:t xml:space="preserve">V1 NON-FUNCTIONAL REQUIREMENTS</w:t>
            </w:r>
          </w:p>
          <w:p>
            <w:pPr>
              <w:spacing w:after="0" w:line="240"/>
            </w:pPr>
            <w:r>
              <w:rPr>
                <w:rFonts w:ascii="Aptos" w:cs="Aptos" w:eastAsia="Aptos" w:hAnsi="Aptos"/>
                <w:color w:val="17212B"/>
                <w:sz w:val="15"/>
                <w:szCs w:val="15"/>
              </w:rPr>
              <w:t xml:space="preserve">Attribution fails closed; config is versioned and staleness-aware; client receives an opaque eligibility result; every retailer has a kill switch.</w:t>
            </w:r>
          </w:p>
        </w:tc>
      </w:tr>
    </w:tbl>
    <w:p>
      <w:r>
        <w:br w:type="page"/>
      </w:r>
    </w:p>
    <w:p>
      <w:pPr>
        <w:pStyle w:val="Heading1"/>
        <w:keepNext/>
        <w:spacing w:after="140" w:before="260"/>
      </w:pPr>
      <w:r>
        <w:rPr>
          <w:rFonts w:ascii="Aptos" w:cs="Aptos" w:eastAsia="Aptos" w:hAnsi="Aptos"/>
          <w:b/>
          <w:bCs/>
          <w:color w:val="17365D"/>
          <w:sz w:val="31"/>
          <w:szCs w:val="31"/>
        </w:rPr>
        <w:t xml:space="preserve">6. Measurement: prove incrementality, not activity</w:t>
      </w:r>
    </w:p>
    <w:p>
      <w:pPr>
        <w:spacing w:after="120" w:before="0" w:line="264"/>
      </w:pPr>
      <w:r>
        <w:rPr>
          <w:rFonts w:ascii="Aptos" w:cs="Aptos" w:eastAsia="Aptos" w:hAnsi="Aptos"/>
          <w:color w:val="17212B"/>
          <w:sz w:val="20"/>
          <w:szCs w:val="20"/>
        </w:rPr>
        <w:t xml:space="preserve">The primary outcome is incremental tracked orders per eligible existing user: mean tracked orders in treatment minus mean tracked orders in control during the test window. It is user-level and intention-to-treat (ITT): users remain in their assigned group whether or not they install or activate.</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tblGrid>
      <w:tr>
        <w:trPr>
          <w:cantSplit/>
          <w:tblHeader/>
        </w:trPr>
        <w:tc>
          <w:tcPr>
            <w:tcW w:type="dxa" w:w="2462"/>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Counterfactual experiment</w:t>
            </w:r>
          </w:p>
        </w:tc>
        <w:tc>
          <w:tcPr>
            <w:tcW w:type="dxa" w:w="7532"/>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
            </w:r>
          </w:p>
        </w:tc>
      </w:tr>
      <w:tr>
        <w:trPr>
          <w:cantSplit/>
        </w:trPr>
        <w:tc>
          <w:tcPr>
            <w:tcW w:type="dxa" w:w="246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Treatment</w:t>
            </w:r>
          </w:p>
        </w:tc>
        <w:tc>
          <w:tcPr>
            <w:tcW w:type="dxa" w:w="753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Eligible users assigned to the Intent Router → tracked orders per user.</w:t>
            </w:r>
          </w:p>
        </w:tc>
      </w:tr>
      <w:tr>
        <w:trPr>
          <w:cantSplit/>
        </w:trPr>
        <w:tc>
          <w:tcPr>
            <w:tcW w:type="dxa" w:w="246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Control</w:t>
            </w:r>
          </w:p>
        </w:tc>
        <w:tc>
          <w:tcPr>
            <w:tcW w:type="dxa" w:w="753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Comparable eligible users assigned to the normal journey → tracked orders per user.</w:t>
            </w:r>
          </w:p>
        </w:tc>
      </w:tr>
      <w:tr>
        <w:trPr>
          <w:cantSplit/>
        </w:trPr>
        <w:tc>
          <w:tcPr>
            <w:tcW w:type="dxa" w:w="246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Incremental lift</w:t>
            </w:r>
          </w:p>
        </w:tc>
        <w:tc>
          <w:tcPr>
            <w:tcW w:type="dxa" w:w="7532"/>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Mean treatment outcome − mean control outcome; control approximates what treatment users would have done without the router.</w:t>
            </w:r>
          </w:p>
        </w:tc>
      </w:tr>
    </w:tbl>
    <w:p>
      <w:pPr>
        <w:spacing w:after="80"/>
      </w:pP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EEF4F8"/>
            <w:tcMar>
              <w:top w:type="dxa" w:w="110"/>
              <w:left w:type="dxa" w:w="160"/>
              <w:bottom w:type="dxa" w:w="110"/>
              <w:right w:type="dxa" w:w="160"/>
            </w:tcMar>
          </w:tcPr>
          <w:p>
            <w:pPr>
              <w:spacing w:after="0" w:line="254"/>
            </w:pPr>
            <w:r>
              <w:rPr>
                <w:rFonts w:ascii="Aptos" w:cs="Aptos" w:eastAsia="Aptos" w:hAnsi="Aptos"/>
                <w:b/>
                <w:bCs/>
                <w:color w:val="17365D"/>
                <w:sz w:val="17"/>
                <w:szCs w:val="17"/>
              </w:rPr>
              <w:t xml:space="preserve">INSTRUMENTATION  </w:t>
            </w:r>
            <w:r>
              <w:rPr>
                <w:rFonts w:ascii="Aptos" w:cs="Aptos" w:eastAsia="Aptos" w:hAnsi="Aptos"/>
                <w:color w:val="17212B"/>
                <w:sz w:val="18"/>
                <w:szCs w:val="18"/>
              </w:rPr>
              <w:t xml:space="preserve">Eligibility + assignment: eligibility_checked, experiment_assigned, prompt_eligible. Exposure + activation: prompt_shown, prompt_dismissed, activation_clicked. Tracking + reconciliation: click_id_created, affiliate_redirected, postback_received. Outcomes: order_confirmed, order_denied, order_unreconciled.</w:t>
            </w:r>
          </w:p>
        </w:tc>
      </w:tr>
    </w:tbl>
    <w:p>
      <w:pPr>
        <w:pStyle w:val="Heading2"/>
        <w:keepNext/>
        <w:spacing w:after="90" w:before="200"/>
      </w:pPr>
      <w:r>
        <w:rPr>
          <w:rFonts w:ascii="Aptos" w:cs="Aptos" w:eastAsia="Aptos" w:hAnsi="Aptos"/>
          <w:b/>
          <w:bCs/>
          <w:color w:val="2E74B5"/>
          <w:sz w:val="23"/>
          <w:szCs w:val="23"/>
        </w:rPr>
        <w:t xml:space="preserve">Metric hierarchy</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tblGrid>
      <w:tr>
        <w:trPr>
          <w:cantSplit/>
        </w:trPr>
        <w:tc>
          <w:tcPr>
            <w:tcW w:type="dxa" w:w="4997"/>
            <w:shd w:fill="EEF4F8"/>
            <w:tcMar>
              <w:top w:type="dxa" w:w="100"/>
              <w:left w:type="dxa" w:w="90"/>
              <w:bottom w:type="dxa" w:w="100"/>
              <w:right w:type="dxa" w:w="90"/>
            </w:tcMar>
            <w:vAlign w:val="center"/>
          </w:tcPr>
          <w:p>
            <w:pPr>
              <w:spacing w:after="0" w:line="230"/>
              <w:jc w:val="center"/>
            </w:pPr>
            <w:r>
              <w:rPr>
                <w:rFonts w:ascii="Aptos" w:cs="Aptos" w:eastAsia="Aptos" w:hAnsi="Aptos"/>
                <w:b/>
                <w:bCs/>
                <w:color w:val="17365D"/>
                <w:sz w:val="13"/>
                <w:szCs w:val="13"/>
              </w:rPr>
              <w:t xml:space="preserve">BUSINESS OUTCOME</w:t>
            </w:r>
          </w:p>
          <w:p>
            <w:pPr>
              <w:spacing w:after="0" w:line="230"/>
              <w:jc w:val="center"/>
            </w:pPr>
            <w:r>
              <w:rPr>
                <w:rFonts w:ascii="Aptos" w:cs="Aptos" w:eastAsia="Aptos" w:hAnsi="Aptos"/>
                <w:color w:val="17365D"/>
                <w:sz w:val="13"/>
                <w:szCs w:val="13"/>
              </w:rPr>
              <w:t xml:space="preserve">Incremental tracked orders / existing user / quarter</w:t>
            </w:r>
          </w:p>
        </w:tc>
        <w:tc>
          <w:tcPr>
            <w:tcW w:type="dxa" w:w="4997"/>
            <w:shd w:fill="E8F3FA"/>
            <w:tcMar>
              <w:top w:type="dxa" w:w="100"/>
              <w:left w:type="dxa" w:w="90"/>
              <w:bottom w:type="dxa" w:w="100"/>
              <w:right w:type="dxa" w:w="90"/>
            </w:tcMar>
            <w:vAlign w:val="center"/>
          </w:tcPr>
          <w:p>
            <w:pPr>
              <w:spacing w:after="0" w:line="230"/>
              <w:jc w:val="center"/>
            </w:pPr>
            <w:r>
              <w:rPr>
                <w:rFonts w:ascii="Aptos" w:cs="Aptos" w:eastAsia="Aptos" w:hAnsi="Aptos"/>
                <w:b/>
                <w:bCs/>
                <w:color w:val="17365D"/>
                <w:sz w:val="13"/>
                <w:szCs w:val="13"/>
              </w:rPr>
              <w:t xml:space="preserve">EXPERIMENT PRIMARY</w:t>
            </w:r>
          </w:p>
          <w:p>
            <w:pPr>
              <w:spacing w:after="0" w:line="230"/>
              <w:jc w:val="center"/>
            </w:pPr>
            <w:r>
              <w:rPr>
                <w:rFonts w:ascii="Aptos" w:cs="Aptos" w:eastAsia="Aptos" w:hAnsi="Aptos"/>
                <w:color w:val="17365D"/>
                <w:sz w:val="13"/>
                <w:szCs w:val="13"/>
              </w:rPr>
              <w:t xml:space="preserve">Incremental tracked orders / eligible user (ITT)</w:t>
            </w:r>
          </w:p>
        </w:tc>
      </w:tr>
    </w:tbl>
    <w:p>
      <w:pPr>
        <w:spacing w:after="60" w:before="60"/>
        <w:jc w:val="center"/>
      </w:pPr>
      <w:r>
        <w:rPr>
          <w:rFonts w:ascii="Aptos" w:cs="Aptos" w:eastAsia="Aptos" w:hAnsi="Aptos"/>
          <w:b/>
          <w:bCs/>
          <w:color w:val="147D88"/>
          <w:sz w:val="22"/>
          <w:szCs w:val="22"/>
        </w:rPr>
        <w:t xml:space="preserve">↓</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tblGrid>
      <w:tr>
        <w:trPr>
          <w:cantSplit/>
        </w:trPr>
        <w:tc>
          <w:tcPr>
            <w:tcW w:type="dxa" w:w="4997"/>
            <w:shd w:fill="EEF4F8"/>
            <w:tcMar>
              <w:top w:type="dxa" w:w="100"/>
              <w:left w:type="dxa" w:w="90"/>
              <w:bottom w:type="dxa" w:w="100"/>
              <w:right w:type="dxa" w:w="90"/>
            </w:tcMar>
            <w:vAlign w:val="center"/>
          </w:tcPr>
          <w:p>
            <w:pPr>
              <w:spacing w:after="0" w:line="230"/>
              <w:jc w:val="center"/>
            </w:pPr>
            <w:r>
              <w:rPr>
                <w:rFonts w:ascii="Aptos" w:cs="Aptos" w:eastAsia="Aptos" w:hAnsi="Aptos"/>
                <w:b/>
                <w:bCs/>
                <w:color w:val="17365D"/>
                <w:sz w:val="13"/>
                <w:szCs w:val="13"/>
              </w:rPr>
              <w:t xml:space="preserve">DIAGNOSTICS</w:t>
            </w:r>
          </w:p>
          <w:p>
            <w:pPr>
              <w:spacing w:after="0" w:line="230"/>
              <w:jc w:val="center"/>
            </w:pPr>
            <w:r>
              <w:rPr>
                <w:rFonts w:ascii="Aptos" w:cs="Aptos" w:eastAsia="Aptos" w:hAnsi="Aptos"/>
                <w:color w:val="17365D"/>
                <w:sz w:val="13"/>
                <w:szCs w:val="13"/>
              </w:rPr>
              <w:t xml:space="preserve">Eligibility → prompt → activation → confirmed order</w:t>
            </w:r>
          </w:p>
        </w:tc>
        <w:tc>
          <w:tcPr>
            <w:tcW w:type="dxa" w:w="4997"/>
            <w:shd w:fill="E8F3FA"/>
            <w:tcMar>
              <w:top w:type="dxa" w:w="100"/>
              <w:left w:type="dxa" w:w="90"/>
              <w:bottom w:type="dxa" w:w="100"/>
              <w:right w:type="dxa" w:w="90"/>
            </w:tcMar>
            <w:vAlign w:val="center"/>
          </w:tcPr>
          <w:p>
            <w:pPr>
              <w:spacing w:after="0" w:line="230"/>
              <w:jc w:val="center"/>
            </w:pPr>
            <w:r>
              <w:rPr>
                <w:rFonts w:ascii="Aptos" w:cs="Aptos" w:eastAsia="Aptos" w:hAnsi="Aptos"/>
                <w:b/>
                <w:bCs/>
                <w:color w:val="17365D"/>
                <w:sz w:val="13"/>
                <w:szCs w:val="13"/>
              </w:rPr>
              <w:t xml:space="preserve">GUARDRAILS</w:t>
            </w:r>
          </w:p>
          <w:p>
            <w:pPr>
              <w:spacing w:after="0" w:line="230"/>
              <w:jc w:val="center"/>
            </w:pPr>
            <w:r>
              <w:rPr>
                <w:rFonts w:ascii="Aptos" w:cs="Aptos" w:eastAsia="Aptos" w:hAnsi="Aptos"/>
                <w:color w:val="17365D"/>
                <w:sz w:val="13"/>
                <w:szCs w:val="13"/>
              </w:rPr>
              <w:t xml:space="preserve">Attribution, trust, partner, support, privacy, fraud, disputes</w:t>
            </w:r>
          </w:p>
        </w:tc>
      </w:tr>
    </w:tbl>
    <w:p>
      <w:pPr>
        <w:spacing w:after="140" w:before="0"/>
      </w:pPr>
      <w:r>
        <w:rPr>
          <w:rFonts w:ascii="Aptos" w:cs="Aptos" w:eastAsia="Aptos" w:hAnsi="Aptos"/>
          <w:i/>
          <w:iCs/>
          <w:color w:val="5E6B78"/>
          <w:sz w:val="17"/>
          <w:szCs w:val="17"/>
        </w:rPr>
        <w:t xml:space="preserve">Do not optimize installs, clicks, opens, or gross assisted orders.</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FFF2D8"/>
            <w:tcMar>
              <w:top w:type="dxa" w:w="110"/>
              <w:left w:type="dxa" w:w="160"/>
              <w:bottom w:type="dxa" w:w="110"/>
              <w:right w:type="dxa" w:w="160"/>
            </w:tcMar>
          </w:tcPr>
          <w:p>
            <w:pPr>
              <w:spacing w:after="0" w:line="254"/>
            </w:pPr>
            <w:r>
              <w:rPr>
                <w:rFonts w:ascii="Aptos" w:cs="Aptos" w:eastAsia="Aptos" w:hAnsi="Aptos"/>
                <w:b/>
                <w:bCs/>
                <w:color w:val="B77718"/>
                <w:sz w:val="17"/>
                <w:szCs w:val="17"/>
              </w:rPr>
              <w:t xml:space="preserve">PRODUCTION MONITORING  </w:t>
            </w:r>
            <w:r>
              <w:rPr>
                <w:rFonts w:ascii="Aptos" w:cs="Aptos" w:eastAsia="Aptos" w:hAnsi="Aptos"/>
                <w:color w:val="17212B"/>
                <w:sz w:val="18"/>
                <w:szCs w:val="18"/>
              </w:rPr>
              <w:t xml:space="preserve">Technical: prompt/API errors, stale config, redirect failures, postback lag, event loss. Business: attribution conflicts, tracking mismatch, complaints, support rate. Monitoring detects problems; the powered, postback-matured ITT readout decides value.</w:t>
            </w:r>
          </w:p>
        </w:tc>
      </w:tr>
    </w:tbl>
    <w:p>
      <w:r>
        <w:br w:type="page"/>
      </w:r>
    </w:p>
    <w:p>
      <w:pPr>
        <w:pStyle w:val="Heading1"/>
        <w:keepNext/>
        <w:spacing w:after="140" w:before="260"/>
      </w:pPr>
      <w:r>
        <w:rPr>
          <w:rFonts w:ascii="Aptos" w:cs="Aptos" w:eastAsia="Aptos" w:hAnsi="Aptos"/>
          <w:b/>
          <w:bCs/>
          <w:color w:val="17365D"/>
          <w:sz w:val="31"/>
          <w:szCs w:val="31"/>
        </w:rPr>
        <w:t xml:space="preserve">7. Experiment design, economics, and decision rules</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DFEFE7"/>
            <w:tcMar>
              <w:top w:type="dxa" w:w="110"/>
              <w:left w:type="dxa" w:w="160"/>
              <w:bottom w:type="dxa" w:w="110"/>
              <w:right w:type="dxa" w:w="160"/>
            </w:tcMar>
          </w:tcPr>
          <w:p>
            <w:pPr>
              <w:spacing w:after="0" w:line="254"/>
            </w:pPr>
            <w:r>
              <w:rPr>
                <w:rFonts w:ascii="Aptos" w:cs="Aptos" w:eastAsia="Aptos" w:hAnsi="Aptos"/>
                <w:b/>
                <w:bCs/>
                <w:color w:val="2A6B3B"/>
                <w:sz w:val="17"/>
                <w:szCs w:val="17"/>
              </w:rPr>
              <w:t xml:space="preserve">THREE TESTS BEFORE SCALE  </w:t>
            </w:r>
            <w:r>
              <w:rPr>
                <w:rFonts w:ascii="Aptos" w:cs="Aptos" w:eastAsia="Aptos" w:hAnsi="Aptos"/>
                <w:color w:val="17212B"/>
                <w:sz w:val="18"/>
                <w:szCs w:val="18"/>
              </w:rPr>
              <w:t xml:space="preserve">Statistical: distinguish effect from zero with adequate precision. Practical: clear the pre-agreed business threshold. Economic: conservative incremental contribution exceeds the relevant cost. All three, plus healthy guardrails, are required to scale.</w:t>
            </w:r>
          </w:p>
        </w:tc>
      </w:tr>
    </w:tbl>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tblGrid>
      <w:tr>
        <w:trPr>
          <w:cantSplit/>
          <w:tblHeader/>
        </w:trPr>
        <w:tc>
          <w:tcPr>
            <w:tcW w:type="dxa" w:w="210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Design choice</w:t>
            </w:r>
          </w:p>
        </w:tc>
        <w:tc>
          <w:tcPr>
            <w:tcW w:type="dxa" w:w="7894"/>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Pre-specified plan</w:t>
            </w:r>
          </w:p>
        </w:tc>
      </w:tr>
      <w:tr>
        <w:trPr>
          <w:cantSplit/>
        </w:trPr>
        <w:tc>
          <w:tcPr>
            <w:tcW w:type="dxa" w:w="2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Population &amp; assignment</w:t>
            </w:r>
          </w:p>
        </w:tc>
        <w:tc>
          <w:tcPr>
            <w:tcW w:type="dxa" w:w="78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Eligible, consented, desktop-leaning users in the validated high-frequency definition. Freeze cohort before randomization; persistent 50/50 assignment, stratified by prior frequency and category.</w:t>
            </w:r>
          </w:p>
        </w:tc>
      </w:tr>
      <w:tr>
        <w:trPr>
          <w:cantSplit/>
        </w:trPr>
        <w:tc>
          <w:tcPr>
            <w:tcW w:type="dxa" w:w="2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Window &amp; maturity</w:t>
            </w:r>
          </w:p>
        </w:tc>
        <w:tc>
          <w:tcPr>
            <w:tcW w:type="dxa" w:w="78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Minimum 4–6 weeks, extended for postback-lag maturity. ITT is primary; treatment-on-treated is a selected-use secondary only.</w:t>
            </w:r>
          </w:p>
        </w:tc>
      </w:tr>
      <w:tr>
        <w:trPr>
          <w:cantSplit/>
        </w:trPr>
        <w:tc>
          <w:tcPr>
            <w:tcW w:type="dxa" w:w="2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Power / MDE</w:t>
            </w:r>
          </w:p>
        </w:tc>
        <w:tc>
          <w:tcPr>
            <w:tcW w:type="dxa" w:w="78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Two-sided 95% confidence, 80% power. Analytics estimates baseline mean/variance from the frozen cohort, then computes MDE. No baseline, MDE, or sample size is invented here.</w:t>
            </w:r>
          </w:p>
        </w:tc>
      </w:tr>
      <w:tr>
        <w:trPr>
          <w:cantSplit/>
        </w:trPr>
        <w:tc>
          <w:tcPr>
            <w:tcW w:type="dxa" w:w="2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Decision standard</w:t>
            </w:r>
          </w:p>
        </w:tc>
        <w:tc>
          <w:tcPr>
            <w:tcW w:type="dxa" w:w="78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Scale only if the CI supports a positive lift clearing the practical threshold and guardrails. "Not significant" is not read as zero effect unless precision is adequate.</w:t>
            </w:r>
          </w:p>
        </w:tc>
      </w:tr>
    </w:tbl>
    <w:p>
      <w:pPr>
        <w:spacing w:after="120" w:before="0" w:line="264"/>
      </w:pPr>
      <w:r>
        <w:rPr>
          <w:rFonts w:ascii="Aptos" w:cs="Aptos" w:eastAsia="Aptos" w:hAnsi="Aptos"/>
          <w:color w:val="5E6B78"/>
          <w:sz w:val="19"/>
          <w:szCs w:val="19"/>
        </w:rPr>
        <w:t xml:space="preserve">Economics are a scenario model, not a forecast. No population size, order value, commission rate, conversion rate, or build cost from the synthetic exercise is treated as CashKaro fact.</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tblGrid>
      <w:tr>
        <w:trPr>
          <w:cantSplit/>
          <w:tblHeader/>
        </w:trPr>
        <w:tc>
          <w:tcPr>
            <w:tcW w:type="dxa" w:w="268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Input</w:t>
            </w:r>
          </w:p>
        </w:tc>
        <w:tc>
          <w:tcPr>
            <w:tcW w:type="dxa" w:w="430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Formula</w:t>
            </w:r>
          </w:p>
        </w:tc>
        <w:tc>
          <w:tcPr>
            <w:tcW w:type="dxa" w:w="3014"/>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Decision use</w:t>
            </w:r>
          </w:p>
        </w:tc>
      </w:tr>
      <w:tr>
        <w:trPr>
          <w:cantSplit/>
        </w:trPr>
        <w:tc>
          <w:tcPr>
            <w:tcW w:type="dxa" w:w="268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Eligible users (E)</w:t>
            </w:r>
          </w:p>
        </w:tc>
        <w:tc>
          <w:tcPr>
            <w:tcW w:type="dxa" w:w="43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Validated target users × desktop reach × eligible-retailer reach.</w:t>
            </w:r>
          </w:p>
        </w:tc>
        <w:tc>
          <w:tcPr>
            <w:tcW w:type="dxa" w:w="301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Sets reach and test sample.</w:t>
            </w:r>
          </w:p>
        </w:tc>
      </w:tr>
      <w:tr>
        <w:trPr>
          <w:cantSplit/>
        </w:trPr>
        <w:tc>
          <w:tcPr>
            <w:tcW w:type="dxa" w:w="268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Incremental orders/user (ΔO)</w:t>
            </w:r>
          </w:p>
        </w:tc>
        <w:tc>
          <w:tcPr>
            <w:tcW w:type="dxa" w:w="43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Mean tracked orders(treatment) − mean tracked orders(control).</w:t>
            </w:r>
          </w:p>
        </w:tc>
        <w:tc>
          <w:tcPr>
            <w:tcW w:type="dxa" w:w="301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Core causal outcome; must be positive and precise enough to act.</w:t>
            </w:r>
          </w:p>
        </w:tc>
      </w:tr>
      <w:tr>
        <w:trPr>
          <w:cantSplit/>
        </w:trPr>
        <w:tc>
          <w:tcPr>
            <w:tcW w:type="dxa" w:w="268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Net contribution/order (C)</w:t>
            </w:r>
          </w:p>
        </w:tc>
        <w:tc>
          <w:tcPr>
            <w:tcW w:type="dxa" w:w="43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Net commission less cashback, partner, support, fraud, variable cost.</w:t>
            </w:r>
          </w:p>
        </w:tc>
        <w:tc>
          <w:tcPr>
            <w:tcW w:type="dxa" w:w="301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Avoids GMV-only approval.</w:t>
            </w:r>
          </w:p>
        </w:tc>
      </w:tr>
      <w:tr>
        <w:trPr>
          <w:cantSplit/>
        </w:trPr>
        <w:tc>
          <w:tcPr>
            <w:tcW w:type="dxa" w:w="268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Break-even ΔO</w:t>
            </w:r>
          </w:p>
        </w:tc>
        <w:tc>
          <w:tcPr>
            <w:tcW w:type="dxa" w:w="43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(Kf + Kr₁) ÷ (E × C)</w:t>
            </w:r>
          </w:p>
        </w:tc>
        <w:tc>
          <w:tcPr>
            <w:tcW w:type="dxa" w:w="301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Scale only if conservative contribution clears cost.</w:t>
            </w:r>
          </w:p>
        </w:tc>
      </w:tr>
    </w:tbl>
    <w:p>
      <w:pPr>
        <w:spacing w:after="60"/>
      </w:pPr>
    </w:p>
    <w:p>
      <w:pPr>
        <w:spacing w:after="60" w:before="40"/>
      </w:pPr>
      <w:r>
        <w:rPr>
          <w:rFonts w:ascii="Aptos" w:cs="Aptos" w:eastAsia="Aptos" w:hAnsi="Aptos"/>
          <w:b/>
          <w:bCs/>
          <w:color w:val="5E6B78"/>
          <w:sz w:val="15"/>
          <w:szCs w:val="15"/>
        </w:rPr>
        <w:t xml:space="preserve">Illustrative sensitivity grid (SYNTHETIC — not a CashKaro forecast)</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gridCol w:w="100"/>
      </w:tblGrid>
      <w:tr>
        <w:trPr>
          <w:cantSplit/>
          <w:tblHeader/>
        </w:trPr>
        <w:tc>
          <w:tcPr>
            <w:tcW w:type="dxa" w:w="200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Scenario</w:t>
            </w:r>
          </w:p>
        </w:tc>
        <w:tc>
          <w:tcPr>
            <w:tcW w:type="dxa" w:w="2664"/>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ΔO (orders/user)</w:t>
            </w:r>
          </w:p>
        </w:tc>
        <w:tc>
          <w:tcPr>
            <w:tcW w:type="dxa" w:w="2664"/>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C (net contribution)</w:t>
            </w:r>
          </w:p>
        </w:tc>
        <w:tc>
          <w:tcPr>
            <w:tcW w:type="dxa" w:w="2666"/>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Reads as</w:t>
            </w:r>
          </w:p>
        </w:tc>
      </w:tr>
      <w:tr>
        <w:trPr>
          <w:cantSplit/>
        </w:trPr>
        <w:tc>
          <w:tcPr>
            <w:tcW w:type="dxa" w:w="20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Conservative</w:t>
            </w:r>
          </w:p>
        </w:tc>
        <w:tc>
          <w:tcPr>
            <w:tcW w:type="dxa" w:w="266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low</w:t>
            </w:r>
          </w:p>
        </w:tc>
        <w:tc>
          <w:tcPr>
            <w:tcW w:type="dxa" w:w="266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low</w:t>
            </w:r>
          </w:p>
        </w:tc>
        <w:tc>
          <w:tcPr>
            <w:tcW w:type="dxa" w:w="2666"/>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Must still clear Kf + Kr₁ to scale.</w:t>
            </w:r>
          </w:p>
        </w:tc>
      </w:tr>
      <w:tr>
        <w:trPr>
          <w:cantSplit/>
        </w:trPr>
        <w:tc>
          <w:tcPr>
            <w:tcW w:type="dxa" w:w="20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Base</w:t>
            </w:r>
          </w:p>
        </w:tc>
        <w:tc>
          <w:tcPr>
            <w:tcW w:type="dxa" w:w="266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mid</w:t>
            </w:r>
          </w:p>
        </w:tc>
        <w:tc>
          <w:tcPr>
            <w:tcW w:type="dxa" w:w="266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mid</w:t>
            </w:r>
          </w:p>
        </w:tc>
        <w:tc>
          <w:tcPr>
            <w:tcW w:type="dxa" w:w="2666"/>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Directional expectation only.</w:t>
            </w:r>
          </w:p>
        </w:tc>
      </w:tr>
      <w:tr>
        <w:trPr>
          <w:cantSplit/>
        </w:trPr>
        <w:tc>
          <w:tcPr>
            <w:tcW w:type="dxa" w:w="20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Upside</w:t>
            </w:r>
          </w:p>
        </w:tc>
        <w:tc>
          <w:tcPr>
            <w:tcW w:type="dxa" w:w="266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high</w:t>
            </w:r>
          </w:p>
        </w:tc>
        <w:tc>
          <w:tcPr>
            <w:tcW w:type="dxa" w:w="266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high</w:t>
            </w:r>
          </w:p>
        </w:tc>
        <w:tc>
          <w:tcPr>
            <w:tcW w:type="dxa" w:w="2666"/>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Not used for the scale decision.</w:t>
            </w:r>
          </w:p>
        </w:tc>
      </w:tr>
    </w:tbl>
    <w:p>
      <w:r>
        <w:br w:type="page"/>
      </w:r>
    </w:p>
    <w:p>
      <w:pPr>
        <w:pStyle w:val="Heading1"/>
        <w:keepNext/>
        <w:spacing w:after="140" w:before="260"/>
      </w:pPr>
      <w:r>
        <w:rPr>
          <w:rFonts w:ascii="Aptos" w:cs="Aptos" w:eastAsia="Aptos" w:hAnsi="Aptos"/>
          <w:b/>
          <w:bCs/>
          <w:color w:val="17365D"/>
          <w:sz w:val="31"/>
          <w:szCs w:val="31"/>
        </w:rPr>
        <w:t xml:space="preserve">8. Operating model, rollout, risks &amp; final decision</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tblGrid>
      <w:tr>
        <w:trPr>
          <w:cantSplit/>
          <w:tblHeader/>
        </w:trPr>
        <w:tc>
          <w:tcPr>
            <w:tcW w:type="dxa" w:w="1593"/>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Stage</w:t>
            </w:r>
          </w:p>
        </w:tc>
        <w:tc>
          <w:tcPr>
            <w:tcW w:type="dxa" w:w="5214"/>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Audience / objective</w:t>
            </w:r>
          </w:p>
        </w:tc>
        <w:tc>
          <w:tcPr>
            <w:tcW w:type="dxa" w:w="3187"/>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Decision rule</w:t>
            </w:r>
          </w:p>
        </w:tc>
      </w:tr>
      <w:tr>
        <w:trPr>
          <w:cantSplit/>
        </w:trPr>
        <w:tc>
          <w:tcPr>
            <w:tcW w:type="dxa" w:w="1593"/>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Recruit / enroll</w:t>
            </w:r>
          </w:p>
        </w:tc>
        <w:tc>
          <w:tcPr>
            <w:tcW w:type="dxa" w:w="521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Validated desktop target via owned surfaces at natural moments.</w:t>
            </w:r>
          </w:p>
        </w:tc>
        <w:tc>
          <w:tcPr>
            <w:tcW w:type="dxa" w:w="3187"/>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Optimize enrollment into a measurable experiment, not installs.</w:t>
            </w:r>
          </w:p>
        </w:tc>
      </w:tr>
      <w:tr>
        <w:trPr>
          <w:cantSplit/>
        </w:trPr>
        <w:tc>
          <w:tcPr>
            <w:tcW w:type="dxa" w:w="1593"/>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Pilot</w:t>
            </w:r>
          </w:p>
        </w:tc>
        <w:tc>
          <w:tcPr>
            <w:tcW w:type="dxa" w:w="521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Small controlled cohort; 3–5 retailers; support/partner on-call.</w:t>
            </w:r>
          </w:p>
        </w:tc>
        <w:tc>
          <w:tcPr>
            <w:tcW w:type="dxa" w:w="3187"/>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Pause on attribution, tracking-match, privacy, or partner incidents.</w:t>
            </w:r>
          </w:p>
        </w:tc>
      </w:tr>
      <w:tr>
        <w:trPr>
          <w:cantSplit/>
        </w:trPr>
        <w:tc>
          <w:tcPr>
            <w:tcW w:type="dxa" w:w="1593"/>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Experiment</w:t>
            </w:r>
          </w:p>
        </w:tc>
        <w:tc>
          <w:tcPr>
            <w:tcW w:type="dxa" w:w="521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Powered persistent 50/50 ITT test.</w:t>
            </w:r>
          </w:p>
        </w:tc>
        <w:tc>
          <w:tcPr>
            <w:tcW w:type="dxa" w:w="3187"/>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One defined iteration only if diagnostics isolate a remediable issue.</w:t>
            </w:r>
          </w:p>
        </w:tc>
      </w:tr>
      <w:tr>
        <w:trPr>
          <w:cantSplit/>
        </w:trPr>
        <w:tc>
          <w:tcPr>
            <w:tcW w:type="dxa" w:w="1593"/>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Scale</w:t>
            </w:r>
          </w:p>
        </w:tc>
        <w:tc>
          <w:tcPr>
            <w:tcW w:type="dxa" w:w="521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Additional retailers/categories after repeatable lift.</w:t>
            </w:r>
          </w:p>
        </w:tc>
        <w:tc>
          <w:tcPr>
            <w:tcW w:type="dxa" w:w="3187"/>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Replicate mechanism; retain controls where practical.</w:t>
            </w:r>
          </w:p>
        </w:tc>
      </w:tr>
    </w:tbl>
    <w:p>
      <w:pPr>
        <w:spacing w:after="80"/>
      </w:pP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tblGrid>
      <w:tr>
        <w:trPr>
          <w:cantSplit/>
          <w:tblHeader/>
        </w:trPr>
        <w:tc>
          <w:tcPr>
            <w:tcW w:type="dxa" w:w="240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Risk</w:t>
            </w:r>
          </w:p>
        </w:tc>
        <w:tc>
          <w:tcPr>
            <w:tcW w:type="dxa" w:w="510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Mitigation / trigger</w:t>
            </w:r>
          </w:p>
        </w:tc>
        <w:tc>
          <w:tcPr>
            <w:tcW w:type="dxa" w:w="2494"/>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Owner</w:t>
            </w:r>
          </w:p>
        </w:tc>
      </w:tr>
      <w:tr>
        <w:trPr>
          <w:cantSplit/>
        </w:trPr>
        <w:tc>
          <w:tcPr>
            <w:tcW w:type="dxa" w:w="24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Attribution overwrite</w:t>
            </w:r>
          </w:p>
        </w:tc>
        <w:tc>
          <w:tcPr>
            <w:tcW w:type="dxa" w:w="5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Fail closed on existing referral; audit; immediate kill switch.</w:t>
            </w:r>
          </w:p>
        </w:tc>
        <w:tc>
          <w:tcPr>
            <w:tcW w:type="dxa" w:w="24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Partnerships + Eng</w:t>
            </w:r>
          </w:p>
        </w:tc>
      </w:tr>
      <w:tr>
        <w:trPr>
          <w:cantSplit/>
        </w:trPr>
        <w:tc>
          <w:tcPr>
            <w:tcW w:type="dxa" w:w="24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Partner resistance</w:t>
            </w:r>
          </w:p>
        </w:tc>
        <w:tc>
          <w:tcPr>
            <w:tcW w:type="dxa" w:w="5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Written approvals; allowlist; partner-specific off switch.</w:t>
            </w:r>
          </w:p>
        </w:tc>
        <w:tc>
          <w:tcPr>
            <w:tcW w:type="dxa" w:w="24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Partnerships</w:t>
            </w:r>
          </w:p>
        </w:tc>
      </w:tr>
      <w:tr>
        <w:trPr>
          <w:cantSplit/>
        </w:trPr>
        <w:tc>
          <w:tcPr>
            <w:tcW w:type="dxa" w:w="24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False tracking expectation</w:t>
            </w:r>
          </w:p>
        </w:tc>
        <w:tc>
          <w:tcPr>
            <w:tcW w:type="dxa" w:w="5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Fresh terms, postback-confirmed status, dispute guardrail.</w:t>
            </w:r>
          </w:p>
        </w:tc>
        <w:tc>
          <w:tcPr>
            <w:tcW w:type="dxa" w:w="24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Support + Product</w:t>
            </w:r>
          </w:p>
        </w:tc>
      </w:tr>
      <w:tr>
        <w:trPr>
          <w:cantSplit/>
        </w:trPr>
        <w:tc>
          <w:tcPr>
            <w:tcW w:type="dxa" w:w="24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Channel shift disguised as lift</w:t>
            </w:r>
          </w:p>
        </w:tc>
        <w:tc>
          <w:tcPr>
            <w:tcW w:type="dxa" w:w="5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Persistent holdout and ITT primary; activation is diagnostic only.</w:t>
            </w:r>
          </w:p>
        </w:tc>
        <w:tc>
          <w:tcPr>
            <w:tcW w:type="dxa" w:w="24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Analytics + PM</w:t>
            </w:r>
          </w:p>
        </w:tc>
      </w:tr>
      <w:tr>
        <w:trPr>
          <w:cantSplit/>
        </w:trPr>
        <w:tc>
          <w:tcPr>
            <w:tcW w:type="dxa" w:w="24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Weak desktop reach</w:t>
            </w:r>
          </w:p>
        </w:tc>
        <w:tc>
          <w:tcPr>
            <w:tcW w:type="dxa" w:w="51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G2 reach/power gate; mobile remains user-initiated V1.5.</w:t>
            </w:r>
          </w:p>
        </w:tc>
        <w:tc>
          <w:tcPr>
            <w:tcW w:type="dxa" w:w="24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PM + Analytics</w:t>
            </w:r>
          </w:p>
        </w:tc>
      </w:tr>
    </w:tbl>
    <w:p>
      <w:pPr>
        <w:spacing w:after="100"/>
      </w:pP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gridCol w:w="100"/>
        <w:gridCol w:w="100"/>
      </w:tblGrid>
      <w:tr>
        <w:trPr>
          <w:cantSplit/>
          <w:tblHeader/>
        </w:trPr>
        <w:tc>
          <w:tcPr>
            <w:tcW w:type="dxa" w:w="320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BUILD</w:t>
            </w:r>
          </w:p>
        </w:tc>
        <w:tc>
          <w:tcPr>
            <w:tcW w:type="dxa" w:w="3400"/>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MEASURE</w:t>
            </w:r>
          </w:p>
        </w:tc>
        <w:tc>
          <w:tcPr>
            <w:tcW w:type="dxa" w:w="3394"/>
            <w:shd w:fill="17365D"/>
            <w:tcMar>
              <w:top w:type="dxa" w:w="95"/>
              <w:left w:type="dxa" w:w="120"/>
              <w:bottom w:type="dxa" w:w="95"/>
              <w:right w:type="dxa" w:w="120"/>
            </w:tcMar>
            <w:vAlign w:val="center"/>
          </w:tcPr>
          <w:p>
            <w:pPr>
              <w:spacing w:after="0" w:line="240"/>
            </w:pPr>
            <w:r>
              <w:rPr>
                <w:rFonts w:ascii="Aptos" w:cs="Aptos" w:eastAsia="Aptos" w:hAnsi="Aptos"/>
                <w:b/>
                <w:bCs/>
                <w:color w:val="FFFFFF"/>
                <w:sz w:val="15"/>
                <w:szCs w:val="15"/>
              </w:rPr>
              <w:t xml:space="preserve">SCALE / KILL</w:t>
            </w:r>
          </w:p>
        </w:tc>
      </w:tr>
      <w:tr>
        <w:trPr>
          <w:cantSplit/>
        </w:trPr>
        <w:tc>
          <w:tcPr>
            <w:tcW w:type="dxa" w:w="32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Validate G1–G3, then launch the narrow Intent Router.</w:t>
            </w:r>
          </w:p>
        </w:tc>
        <w:tc>
          <w:tcPr>
            <w:tcW w:type="dxa" w:w="3400"/>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Incremental tracked orders per eligible existing user — not installs, clicks, or assisted orders.</w:t>
            </w:r>
          </w:p>
        </w:tc>
        <w:tc>
          <w:tcPr>
            <w:tcW w:type="dxa" w:w="3394"/>
            <w:tcMar>
              <w:top w:type="dxa" w:w="95"/>
              <w:left w:type="dxa" w:w="120"/>
              <w:bottom w:type="dxa" w:w="95"/>
              <w:right w:type="dxa" w:w="120"/>
            </w:tcMar>
            <w:vAlign w:val="center"/>
          </w:tcPr>
          <w:p>
            <w:pPr>
              <w:spacing w:after="0" w:line="240"/>
            </w:pPr>
            <w:r>
              <w:rPr>
                <w:rFonts w:ascii="Aptos" w:cs="Aptos" w:eastAsia="Aptos" w:hAnsi="Aptos"/>
                <w:color w:val="17212B"/>
                <w:sz w:val="15"/>
                <w:szCs w:val="15"/>
              </w:rPr>
              <w:t xml:space="preserve">Scale only with practical, precise, economically positive lift and healthy attribution/trust/partner guardrails.</w:t>
            </w:r>
          </w:p>
        </w:tc>
      </w:tr>
    </w:tbl>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DFEFE7"/>
            <w:tcMar>
              <w:top w:type="dxa" w:w="110"/>
              <w:left w:type="dxa" w:w="160"/>
              <w:bottom w:type="dxa" w:w="110"/>
              <w:right w:type="dxa" w:w="160"/>
            </w:tcMar>
          </w:tcPr>
          <w:p>
            <w:pPr>
              <w:spacing w:after="0" w:line="254"/>
            </w:pPr>
            <w:r>
              <w:rPr>
                <w:rFonts w:ascii="Aptos" w:cs="Aptos" w:eastAsia="Aptos" w:hAnsi="Aptos"/>
                <w:b/>
                <w:bCs/>
                <w:color w:val="2A6B3B"/>
                <w:sz w:val="17"/>
                <w:szCs w:val="17"/>
              </w:rPr>
              <w:t xml:space="preserve">SCALE ONLY WHEN  </w:t>
            </w:r>
            <w:r>
              <w:rPr>
                <w:rFonts w:ascii="Aptos" w:cs="Aptos" w:eastAsia="Aptos" w:hAnsi="Aptos"/>
                <w:color w:val="17212B"/>
                <w:sz w:val="18"/>
                <w:szCs w:val="18"/>
              </w:rPr>
              <w:t xml:space="preserve">The powered ITT test shows a practically meaningful positive lift with adequate precision, conservative first-quarter contribution clears Kf + Kr₁, and tracking, attribution, trust, and partner guardrails remain healthy.</w:t>
            </w:r>
          </w:p>
        </w:tc>
      </w:tr>
    </w:tbl>
    <w:p>
      <w:pPr>
        <w:spacing w:after="100" w:before="100"/>
      </w:pPr>
      <w:r>
        <w:rPr>
          <w:rFonts w:ascii="Aptos" w:cs="Aptos" w:eastAsia="Aptos" w:hAnsi="Aptos"/>
          <w:b/>
          <w:bCs/>
          <w:i/>
          <w:iCs/>
          <w:color w:val="17365D"/>
          <w:sz w:val="18"/>
          <w:szCs w:val="18"/>
        </w:rPr>
        <w:t xml:space="preserve">Do not scale a feature because the funnel moved; scale only when the mechanism creates incremental tracked orders safely and economically.</w:t>
      </w:r>
    </w:p>
    <w:p>
      <w:pPr>
        <w:pStyle w:val="Heading2"/>
        <w:keepNext/>
        <w:spacing w:after="90" w:before="200"/>
      </w:pPr>
      <w:r>
        <w:rPr>
          <w:rFonts w:ascii="Aptos" w:cs="Aptos" w:eastAsia="Aptos" w:hAnsi="Aptos"/>
          <w:b/>
          <w:bCs/>
          <w:color w:val="2E74B5"/>
          <w:sz w:val="23"/>
          <w:szCs w:val="23"/>
        </w:rPr>
        <w:t xml:space="preserve">Evidence and AI transparency</w:t>
      </w:r>
    </w:p>
    <w:tbl>
      <w:tblPr>
        <w:tblW w:type="dxa" w:w="9994"/>
        <w:tblBorders>
          <w:top w:val="single" w:color="D6E3EC" w:sz="4"/>
          <w:left w:val="single" w:color="D6E3EC" w:sz="4"/>
          <w:bottom w:val="single" w:color="D6E3EC" w:sz="4"/>
          <w:right w:val="single" w:color="D6E3EC" w:sz="4"/>
          <w:insideH w:val="single" w:color="auto" w:sz="4"/>
          <w:insideV w:val="single" w:color="auto" w:sz="4"/>
        </w:tblBorders>
      </w:tblPr>
      <w:tblGrid>
        <w:gridCol w:w="100"/>
      </w:tblGrid>
      <w:tr>
        <w:trPr>
          <w:cantSplit/>
        </w:trPr>
        <w:tc>
          <w:tcPr>
            <w:shd w:fill="EEF4F8"/>
            <w:tcMar>
              <w:top w:type="dxa" w:w="110"/>
              <w:left w:type="dxa" w:w="160"/>
              <w:bottom w:type="dxa" w:w="110"/>
              <w:right w:type="dxa" w:w="160"/>
            </w:tcMar>
          </w:tcPr>
          <w:p>
            <w:pPr>
              <w:spacing w:after="0" w:line="254"/>
            </w:pPr>
            <w:r>
              <w:rPr>
                <w:rFonts w:ascii="Aptos" w:cs="Aptos" w:eastAsia="Aptos" w:hAnsi="Aptos"/>
                <w:b/>
                <w:bCs/>
                <w:color w:val="17365D"/>
                <w:sz w:val="17"/>
                <w:szCs w:val="17"/>
              </w:rPr>
              <w:t xml:space="preserve">PROVIDED / SIMULATED / INFERRED / TO VALIDATE / AI  </w:t>
            </w:r>
            <w:r>
              <w:rPr>
                <w:rFonts w:ascii="Aptos" w:cs="Aptos" w:eastAsia="Aptos" w:hAnsi="Aptos"/>
                <w:color w:val="17212B"/>
                <w:sz w:val="18"/>
                <w:szCs w:val="18"/>
              </w:rPr>
              <w:t xml:space="preserve">Provided: assignment brief, Product Intern JD, and original submission. Simulated: the original RFM-style cohort; excluded from sizing and approval. Inferred: routing-friction hypothesis and archetype-to-cause mapping. To validate: all CashKaro causal claims through G1–G4. AI: assisted structure, critique, drafting, and editing; not a source of unverified CashKaro facts.</w:t>
            </w:r>
          </w:p>
        </w:tc>
      </w:tr>
    </w:tbl>
    <w:p>
      <w:pPr>
        <w:spacing w:before="200"/>
        <w:jc w:val="center"/>
      </w:pPr>
      <w:r>
        <w:rPr>
          <w:rFonts w:ascii="Aptos" w:cs="Aptos" w:eastAsia="Aptos" w:hAnsi="Aptos"/>
          <w:i/>
          <w:iCs/>
          <w:color w:val="5E6B78"/>
          <w:sz w:val="18"/>
          <w:szCs w:val="18"/>
        </w:rPr>
        <w:t xml:space="preserve">End of submission</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E6B78"/>
        <w:sz w:val="16"/>
        <w:szCs w:val="16"/>
      </w:rPr>
      <w:t xml:space="preserve">CashKaro APM Internship Assignment  |  Page </w:t>
    </w:r>
    <w:r>
      <w:rPr>
        <w:rFonts w:ascii="Aptos" w:cs="Aptos" w:eastAsia="Aptos" w:hAnsi="Aptos"/>
        <w:color w:val="5E6B7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b/>
        <w:bCs/>
        <w:color w:val="147D88"/>
        <w:sz w:val="16"/>
        <w:szCs w:val="16"/>
      </w:rPr>
      <w:t xml:space="preserve">CASHKARO  |  APM PRODUCT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21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2026-09-16T10:30:34.879Z</dcterms:created>
  <dcterms:modified xsi:type="dcterms:W3CDTF">2026-09-16T10:30:34.879Z</dcterms:modified>
</cp:coreProperties>
</file>

<file path=docProps/custom.xml><?xml version="1.0" encoding="utf-8"?>
<Properties xmlns="http://schemas.openxmlformats.org/officeDocument/2006/custom-properties" xmlns:vt="http://schemas.openxmlformats.org/officeDocument/2006/docPropsVTypes"/>
</file>