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6C0" w:rsidRPr="00F636C0" w:rsidRDefault="00F636C0" w:rsidP="00F636C0">
      <w:pPr>
        <w:shd w:val="clear" w:color="auto" w:fill="FFFFFF"/>
        <w:spacing w:after="0" w:line="240" w:lineRule="auto"/>
        <w:outlineLvl w:val="1"/>
        <w:rPr>
          <w:rFonts w:ascii="SimSun" w:eastAsia="SimSun" w:hAnsi="SimSun" w:cs="Times New Roman"/>
          <w:color w:val="333333"/>
          <w:spacing w:val="2"/>
          <w:sz w:val="36"/>
          <w:szCs w:val="36"/>
          <w:lang w:eastAsia="en-IN"/>
        </w:rPr>
      </w:pPr>
      <w:r w:rsidRPr="00F636C0">
        <w:rPr>
          <w:rFonts w:ascii="SimSun" w:eastAsia="SimSun" w:hAnsi="SimSun" w:cs="Times New Roman" w:hint="eastAsia"/>
          <w:color w:val="333333"/>
          <w:spacing w:val="2"/>
          <w:sz w:val="36"/>
          <w:szCs w:val="36"/>
          <w:lang w:eastAsia="en-IN"/>
        </w:rPr>
        <w:t>What is a Flowchart?</w:t>
      </w:r>
    </w:p>
    <w:p w:rsidR="00F636C0" w:rsidRDefault="00F636C0" w:rsidP="00F636C0">
      <w:pPr>
        <w:shd w:val="clear" w:color="auto" w:fill="FFFFFF"/>
        <w:spacing w:after="0" w:line="446" w:lineRule="atLeast"/>
        <w:rPr>
          <w:rFonts w:ascii="SimSun" w:eastAsia="SimSun" w:hAnsi="SimSun"/>
          <w:color w:val="737C85"/>
          <w:spacing w:val="2"/>
          <w:shd w:val="clear" w:color="auto" w:fill="FFFFFF"/>
        </w:rPr>
      </w:pPr>
      <w:r w:rsidRPr="00F636C0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A flowchart is a graphical representations of steps</w:t>
      </w:r>
      <w:r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  <w:t xml:space="preserve"> involved in planning &amp; execution of any project</w:t>
      </w:r>
      <w:r w:rsidRPr="00F636C0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. It was originated from computer science as a tool for representing algorithms and programming logic</w:t>
      </w:r>
      <w:r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  <w:t>.</w:t>
      </w:r>
      <w:r w:rsidRPr="00F636C0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>They help us visualize complex processes, or make explicit the structure of problems and tasks. </w:t>
      </w:r>
    </w:p>
    <w:p w:rsidR="00F636C0" w:rsidRDefault="00F636C0" w:rsidP="00F636C0">
      <w:pPr>
        <w:shd w:val="clear" w:color="auto" w:fill="FFFFFF"/>
        <w:spacing w:after="0" w:line="446" w:lineRule="atLeast"/>
        <w:rPr>
          <w:rFonts w:ascii="SimSun" w:eastAsia="SimSun" w:hAnsi="SimSun"/>
          <w:color w:val="737C85"/>
          <w:spacing w:val="2"/>
          <w:shd w:val="clear" w:color="auto" w:fill="FFFFFF"/>
        </w:rPr>
      </w:pPr>
    </w:p>
    <w:p w:rsidR="00F636C0" w:rsidRDefault="00F636C0" w:rsidP="00F636C0">
      <w:pPr>
        <w:pStyle w:val="Heading2"/>
        <w:shd w:val="clear" w:color="auto" w:fill="FFFFFF"/>
        <w:spacing w:before="0" w:beforeAutospacing="0" w:after="0" w:afterAutospacing="0"/>
        <w:rPr>
          <w:rFonts w:ascii="SimSun" w:eastAsia="SimSun" w:hAnsi="SimSun"/>
          <w:b w:val="0"/>
          <w:bCs w:val="0"/>
          <w:color w:val="333333"/>
          <w:spacing w:val="2"/>
        </w:rPr>
      </w:pPr>
      <w:r>
        <w:rPr>
          <w:rFonts w:ascii="SimSun" w:eastAsia="SimSun" w:hAnsi="SimSun" w:hint="eastAsia"/>
          <w:b w:val="0"/>
          <w:bCs w:val="0"/>
          <w:color w:val="333333"/>
          <w:spacing w:val="2"/>
        </w:rPr>
        <w:t>Flowchart Symbols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Different flowchart shapes have different conventional meanings. The meanings of some of the more common shapes are as follows: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45161D" w:rsidRDefault="0045161D" w:rsidP="0045161D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0" w:name="toc3"/>
      <w:bookmarkEnd w:id="0"/>
      <w:r>
        <w:rPr>
          <w:rFonts w:ascii="SimSun" w:eastAsia="SimSun" w:hAnsi="SimSun"/>
          <w:b/>
          <w:bCs/>
          <w:color w:val="333333"/>
          <w:spacing w:val="2"/>
        </w:rPr>
        <w:t>Terminator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The terminator symbol represents the starting or ending point of the system.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1089660" cy="586740"/>
            <wp:effectExtent l="0" t="0" r="0" b="3810"/>
            <wp:docPr id="2" name="Picture 2" descr="Flowchart symbol: Term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symbol: Termin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b/>
          <w:bCs/>
          <w:color w:val="737C85"/>
          <w:spacing w:val="2"/>
        </w:rPr>
      </w:pPr>
    </w:p>
    <w:p w:rsidR="00F636C0" w:rsidRPr="00F636C0" w:rsidRDefault="0045161D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b/>
          <w:bCs/>
          <w:color w:val="737C85"/>
          <w:spacing w:val="2"/>
        </w:rPr>
      </w:pPr>
      <w:r>
        <w:rPr>
          <w:rFonts w:ascii="SimSun" w:eastAsia="SimSun" w:hAnsi="SimSun"/>
          <w:b/>
          <w:bCs/>
          <w:color w:val="333333"/>
          <w:spacing w:val="2"/>
        </w:rPr>
        <w:t>Process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A box indicates some particular operation.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967740" cy="586740"/>
            <wp:effectExtent l="0" t="0" r="3810" b="3810"/>
            <wp:docPr id="1" name="Picture 1" descr="Flowchart symbol: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symbol: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r>
        <w:rPr>
          <w:rFonts w:ascii="SimSun" w:eastAsia="SimSun" w:hAnsi="SimSun" w:hint="eastAsia"/>
          <w:b/>
          <w:bCs/>
          <w:color w:val="333333"/>
          <w:spacing w:val="2"/>
        </w:rPr>
        <w:t>Document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This represents a printout, such as a document or a report.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967740" cy="579120"/>
            <wp:effectExtent l="0" t="0" r="3810" b="0"/>
            <wp:docPr id="9" name="Picture 9" descr="Flowchart symbol: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symbol: Docu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1" w:name="toc5"/>
      <w:bookmarkEnd w:id="1"/>
      <w:r>
        <w:rPr>
          <w:rFonts w:ascii="SimSun" w:eastAsia="SimSun" w:hAnsi="SimSun" w:hint="eastAsia"/>
          <w:b/>
          <w:bCs/>
          <w:color w:val="333333"/>
          <w:spacing w:val="2"/>
        </w:rPr>
        <w:lastRenderedPageBreak/>
        <w:t>Decision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A diamond represents a decision or branching point. Lines coming out from the diamond indicates different possible situations, leading to different sub-processes.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800100" cy="800100"/>
            <wp:effectExtent l="0" t="0" r="0" b="0"/>
            <wp:docPr id="8" name="Picture 8" descr="Flowchart symbol: Dec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symbol: Deci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2" w:name="toc6"/>
      <w:bookmarkEnd w:id="2"/>
      <w:r>
        <w:rPr>
          <w:rFonts w:ascii="SimSun" w:eastAsia="SimSun" w:hAnsi="SimSun" w:hint="eastAsia"/>
          <w:b/>
          <w:bCs/>
          <w:color w:val="333333"/>
          <w:spacing w:val="2"/>
        </w:rPr>
        <w:t>Data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It represents information entering or leaving the system. An input might be an order from a customer. Output can be a product to be delivered.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1165860" cy="586740"/>
            <wp:effectExtent l="0" t="0" r="0" b="3810"/>
            <wp:docPr id="7" name="Picture 7" descr="Flowchart symbol: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symbol: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3" w:name="toc7"/>
      <w:bookmarkEnd w:id="3"/>
      <w:r>
        <w:rPr>
          <w:rFonts w:ascii="SimSun" w:eastAsia="SimSun" w:hAnsi="SimSun" w:hint="eastAsia"/>
          <w:b/>
          <w:bCs/>
          <w:color w:val="333333"/>
          <w:spacing w:val="2"/>
        </w:rPr>
        <w:t>On-Page Reference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This symbol would contain a letter inside. It indicates that the flow continues on a matching symbol containing the same letter somewhere else on the same page.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586740" cy="586740"/>
            <wp:effectExtent l="0" t="0" r="3810" b="3810"/>
            <wp:docPr id="6" name="Picture 6" descr="Flowchart symbol: On p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 symbol: On page refer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4" w:name="toc8"/>
      <w:bookmarkEnd w:id="4"/>
      <w:r>
        <w:rPr>
          <w:rFonts w:ascii="SimSun" w:eastAsia="SimSun" w:hAnsi="SimSun" w:hint="eastAsia"/>
          <w:b/>
          <w:bCs/>
          <w:color w:val="333333"/>
          <w:spacing w:val="2"/>
        </w:rPr>
        <w:t>Off-Page Reference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This symbol would contain a letter inside. It indicates that the flow continues on a matching symbol containing the same letter somewhere else on a different page.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586740" cy="601980"/>
            <wp:effectExtent l="0" t="0" r="3810" b="7620"/>
            <wp:docPr id="5" name="Picture 5" descr="Flowchart symbol: Off p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 symbol: Off page refer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5" w:name="toc9"/>
      <w:bookmarkEnd w:id="5"/>
      <w:r>
        <w:rPr>
          <w:rFonts w:ascii="SimSun" w:eastAsia="SimSun" w:hAnsi="SimSun" w:hint="eastAsia"/>
          <w:b/>
          <w:bCs/>
          <w:color w:val="333333"/>
          <w:spacing w:val="2"/>
        </w:rPr>
        <w:t>Delay or Bottleneck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Identifies a delay or a bottleneck.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967740" cy="586740"/>
            <wp:effectExtent l="0" t="0" r="3810" b="3810"/>
            <wp:docPr id="4" name="Picture 4" descr="Flowchart symbol: D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 symbol: Del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bookmarkStart w:id="6" w:name="toc10"/>
      <w:bookmarkEnd w:id="6"/>
      <w:r>
        <w:rPr>
          <w:rFonts w:ascii="SimSun" w:eastAsia="SimSun" w:hAnsi="SimSun" w:hint="eastAsia"/>
          <w:b/>
          <w:bCs/>
          <w:color w:val="333333"/>
          <w:spacing w:val="2"/>
        </w:rPr>
        <w:lastRenderedPageBreak/>
        <w:t>Flow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Lines represent the flow of the sequence and direction of a process.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1303020" cy="83820"/>
            <wp:effectExtent l="0" t="0" r="0" b="0"/>
            <wp:docPr id="3" name="Picture 3" descr="Flowchart symbol: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 symbol: 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b/>
          <w:bCs/>
          <w:spacing w:val="2"/>
          <w:sz w:val="32"/>
          <w:szCs w:val="32"/>
        </w:rPr>
      </w:pPr>
      <w:r w:rsidRPr="00F636C0">
        <w:rPr>
          <w:rFonts w:ascii="SimSun" w:eastAsia="SimSun" w:hAnsi="SimSun"/>
          <w:b/>
          <w:bCs/>
          <w:spacing w:val="2"/>
          <w:sz w:val="32"/>
          <w:szCs w:val="32"/>
        </w:rPr>
        <w:t>Benefits of using a Flowchart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b/>
          <w:bCs/>
          <w:spacing w:val="2"/>
          <w:sz w:val="32"/>
          <w:szCs w:val="32"/>
        </w:rPr>
      </w:pPr>
    </w:p>
    <w:p w:rsidR="00F636C0" w:rsidRPr="00F636C0" w:rsidRDefault="00F636C0" w:rsidP="00F636C0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  <w:r w:rsidRPr="00F636C0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It helps to clarify complex processes.</w:t>
      </w:r>
    </w:p>
    <w:p w:rsidR="00F636C0" w:rsidRPr="00F636C0" w:rsidRDefault="00F636C0" w:rsidP="00F636C0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  <w:r w:rsidRPr="00F636C0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It identifies steps that do not add value to the internal or external customer, including delays; needless storage and transportation; unnecessary work, duplication, and added expense; breakdowns in communication.</w:t>
      </w:r>
    </w:p>
    <w:p w:rsidR="00F636C0" w:rsidRPr="00F636C0" w:rsidRDefault="00F636C0" w:rsidP="00F636C0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  <w:r w:rsidRPr="00F636C0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It helps team members gain a shared understanding of the process and use this knowledge to collect data, identify problems, focus discussions, and identify resources.</w:t>
      </w:r>
    </w:p>
    <w:p w:rsidR="00F636C0" w:rsidRPr="00F636C0" w:rsidRDefault="00F636C0" w:rsidP="00F636C0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  <w:r w:rsidRPr="00F636C0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It serves as a basis for designing new processes.</w:t>
      </w:r>
    </w:p>
    <w:p w:rsidR="002E15AB" w:rsidRDefault="003D06D1" w:rsidP="00F636C0">
      <w:pPr>
        <w:pStyle w:val="NormalWeb"/>
        <w:shd w:val="clear" w:color="auto" w:fill="FFFFFF"/>
        <w:spacing w:before="0" w:beforeAutospacing="0" w:after="0" w:afterAutospacing="0" w:line="446" w:lineRule="atLeast"/>
      </w:pPr>
      <w:r>
        <w:t>Short notes created</w:t>
      </w:r>
      <w:r w:rsidR="00AD256E">
        <w:t xml:space="preserve"> here has been </w:t>
      </w:r>
      <w:bookmarkStart w:id="7" w:name="_GoBack"/>
      <w:bookmarkEnd w:id="7"/>
      <w:r w:rsidR="002E15AB">
        <w:t xml:space="preserve">Extracted from : </w:t>
      </w:r>
    </w:p>
    <w:p w:rsidR="00F636C0" w:rsidRPr="00F636C0" w:rsidRDefault="002E15AB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b/>
          <w:bCs/>
          <w:color w:val="737C85"/>
          <w:spacing w:val="2"/>
          <w:sz w:val="32"/>
          <w:szCs w:val="32"/>
        </w:rPr>
      </w:pPr>
      <w:hyperlink r:id="rId14" w:history="1">
        <w:r w:rsidRPr="00E8456A">
          <w:rPr>
            <w:rStyle w:val="Hyperlink"/>
          </w:rPr>
          <w:t>https://www.visual-paradigm.com/tutorials/flowchart-tutorial/</w:t>
        </w:r>
      </w:hyperlink>
    </w:p>
    <w:p w:rsidR="00F636C0" w:rsidRDefault="00F636C0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45161D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</w:p>
    <w:p w:rsidR="00F636C0" w:rsidRPr="0045161D" w:rsidRDefault="00F636C0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b/>
          <w:bCs/>
          <w:color w:val="4472C4" w:themeColor="accent1"/>
          <w:spacing w:val="2"/>
          <w:sz w:val="32"/>
          <w:szCs w:val="32"/>
          <w:lang w:eastAsia="en-IN"/>
        </w:rPr>
      </w:pPr>
      <w:r w:rsidRPr="0045161D">
        <w:rPr>
          <w:rFonts w:ascii="SimSun" w:eastAsia="SimSun" w:hAnsi="SimSun" w:cs="Times New Roman"/>
          <w:b/>
          <w:bCs/>
          <w:color w:val="4472C4" w:themeColor="accent1"/>
          <w:spacing w:val="2"/>
          <w:sz w:val="32"/>
          <w:szCs w:val="32"/>
          <w:lang w:eastAsia="en-IN"/>
        </w:rPr>
        <w:t>Quick Examples</w:t>
      </w:r>
    </w:p>
    <w:p w:rsidR="0045161D" w:rsidRPr="00F636C0" w:rsidRDefault="0045161D" w:rsidP="00F636C0">
      <w:pPr>
        <w:shd w:val="clear" w:color="auto" w:fill="FFFFFF"/>
        <w:spacing w:after="0" w:line="446" w:lineRule="atLeast"/>
        <w:rPr>
          <w:rFonts w:ascii="SimSun" w:eastAsia="SimSun" w:hAnsi="SimSun" w:cs="Times New Roman"/>
          <w:b/>
          <w:bCs/>
          <w:color w:val="0000FF"/>
          <w:spacing w:val="2"/>
          <w:sz w:val="32"/>
          <w:szCs w:val="32"/>
          <w:lang w:eastAsia="en-IN"/>
        </w:rPr>
      </w:pPr>
    </w:p>
    <w:p w:rsidR="00F636C0" w:rsidRDefault="00F636C0" w:rsidP="00F636C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r>
        <w:rPr>
          <w:rFonts w:ascii="SimSun" w:eastAsia="SimSun" w:hAnsi="SimSun" w:hint="eastAsia"/>
          <w:b/>
          <w:bCs/>
          <w:color w:val="333333"/>
          <w:spacing w:val="2"/>
        </w:rPr>
        <w:t>Flowchart Example – Simple Algorithms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A flowchart can also be used in visualizing algorithms, regardless of its complexity. Here is an example that shows how flowchart can be used in showing a simple summation process.</w:t>
      </w:r>
    </w:p>
    <w:p w:rsidR="00F636C0" w:rsidRDefault="00F636C0" w:rsidP="00F636C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3406140" cy="5295900"/>
            <wp:effectExtent l="0" t="0" r="3810" b="0"/>
            <wp:docPr id="10" name="Picture 10" descr="Flowchart example: Simple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owchart example: Simple algorith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53" w:rsidRDefault="00AD256E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 w:rsidP="00C8640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r>
        <w:rPr>
          <w:rFonts w:ascii="SimSun" w:eastAsia="SimSun" w:hAnsi="SimSun" w:hint="eastAsia"/>
          <w:b/>
          <w:bCs/>
          <w:color w:val="333333"/>
          <w:spacing w:val="2"/>
        </w:rPr>
        <w:t>Flowchart Example – Calculate Profit and Loss</w:t>
      </w:r>
    </w:p>
    <w:p w:rsidR="00C86400" w:rsidRDefault="00C86400" w:rsidP="00C8640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The flowchart example below shows how profit and loss can be calculated.</w:t>
      </w:r>
    </w:p>
    <w:p w:rsidR="00C86400" w:rsidRDefault="00C86400" w:rsidP="00C8640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5731510" cy="5399405"/>
            <wp:effectExtent l="0" t="0" r="2540" b="0"/>
            <wp:docPr id="11" name="Picture 11" descr="Flowchart example: Calculate profit and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owchart example: Calculate profit and lo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/>
    <w:p w:rsidR="00C86400" w:rsidRDefault="00C86400" w:rsidP="00C86400">
      <w:pPr>
        <w:pStyle w:val="Heading3"/>
        <w:shd w:val="clear" w:color="auto" w:fill="FFFFFF"/>
        <w:spacing w:before="0"/>
        <w:rPr>
          <w:rFonts w:ascii="SimSun" w:eastAsia="SimSun" w:hAnsi="SimSun"/>
          <w:color w:val="333333"/>
          <w:spacing w:val="2"/>
        </w:rPr>
      </w:pPr>
      <w:r>
        <w:rPr>
          <w:rFonts w:ascii="SimSun" w:eastAsia="SimSun" w:hAnsi="SimSun" w:hint="eastAsia"/>
          <w:b/>
          <w:bCs/>
          <w:color w:val="333333"/>
          <w:spacing w:val="2"/>
        </w:rPr>
        <w:t>Flowchart Example – Medical Service</w:t>
      </w:r>
    </w:p>
    <w:p w:rsidR="00C86400" w:rsidRDefault="00C86400" w:rsidP="00C8640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 w:hint="eastAsia"/>
          <w:color w:val="737C85"/>
          <w:spacing w:val="2"/>
        </w:rPr>
        <w:t>This is a hospital flowchart example that shows how clinical cases shall be processed. This flowchart uses decision shapes intensively in representing alternative flows.</w:t>
      </w:r>
    </w:p>
    <w:p w:rsidR="00C86400" w:rsidRDefault="00C86400" w:rsidP="00C86400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SimSun" w:eastAsia="SimSun" w:hAnsi="SimSun"/>
          <w:color w:val="737C85"/>
          <w:spacing w:val="2"/>
        </w:rPr>
      </w:pPr>
      <w:r>
        <w:rPr>
          <w:rFonts w:ascii="SimSun" w:eastAsia="SimSun" w:hAnsi="SimSun"/>
          <w:noProof/>
          <w:color w:val="737C85"/>
          <w:spacing w:val="2"/>
        </w:rPr>
        <w:drawing>
          <wp:inline distT="0" distB="0" distL="0" distR="0">
            <wp:extent cx="5731510" cy="5601970"/>
            <wp:effectExtent l="0" t="0" r="2540" b="0"/>
            <wp:docPr id="12" name="Picture 12" descr="Flowchart example: Medica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lowchart example: Medical servic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00" w:rsidRDefault="00C86400"/>
    <w:sectPr w:rsidR="00C8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2F68"/>
    <w:multiLevelType w:val="multilevel"/>
    <w:tmpl w:val="D6A6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C0"/>
    <w:rsid w:val="002E15AB"/>
    <w:rsid w:val="003D06D1"/>
    <w:rsid w:val="0045161D"/>
    <w:rsid w:val="009B1C1D"/>
    <w:rsid w:val="00AD256E"/>
    <w:rsid w:val="00C86400"/>
    <w:rsid w:val="00E5328D"/>
    <w:rsid w:val="00F6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433C"/>
  <w15:chartTrackingRefBased/>
  <w15:docId w15:val="{DAD9A5E9-09E3-44A6-B1AA-00CCB7E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6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6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6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visual-paradigm.com/tutorials/flowchar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Joshi</dc:creator>
  <cp:keywords/>
  <dc:description/>
  <cp:lastModifiedBy>Suvarna Joshi</cp:lastModifiedBy>
  <cp:revision>5</cp:revision>
  <dcterms:created xsi:type="dcterms:W3CDTF">2019-10-31T06:26:00Z</dcterms:created>
  <dcterms:modified xsi:type="dcterms:W3CDTF">2019-10-31T07:04:00Z</dcterms:modified>
</cp:coreProperties>
</file>