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Allcited Corporate Employee Handbook</w:t>
      </w:r>
    </w:p>
    <w:p>
      <w:pPr>
        <w:pStyle w:val="Heading1"/>
      </w:pPr>
      <w:r>
        <w:t>1. General Employment Framework</w:t>
      </w:r>
    </w:p>
    <w:p>
      <w:r>
        <w:t>Welcome to Allcited. This employee handbook sets out the official terms, rules, and conditions governing all full-time, part-time, and contract personnel across all operating divisions. Compliance with all company directives and procedural guidelines is mandatory.</w:t>
      </w:r>
    </w:p>
    <w:p>
      <w:pPr>
        <w:pStyle w:val="Heading2"/>
      </w:pPr>
      <w:r>
        <w:t>1.1 Scope and Application</w:t>
      </w:r>
    </w:p>
    <w:p>
      <w:r>
        <w:t>This policy applies globally to all employees, consultants, and directors. Specific regional addenda may provide additional statutory protections where required by municipal labor legislation.</w:t>
      </w:r>
    </w:p>
    <w:p>
      <w:pPr>
        <w:pStyle w:val="Heading2"/>
      </w:pPr>
      <w:r>
        <w:t>1.2 Code of Business Conduct</w:t>
      </w:r>
    </w:p>
    <w:p>
      <w:r>
        <w:t>Every team member must act with absolute integrity, transparency, and professional diligence. Conflicts of interest must be formally declared to the ethics committee under procedure EC-101.</w:t>
      </w:r>
    </w:p>
    <w:p>
      <w:pPr>
        <w:pStyle w:val="Heading1"/>
      </w:pPr>
      <w:r>
        <w:t>2. Leave and Time-Off Entitlements</w:t>
      </w:r>
    </w:p>
    <w:p>
      <w:r>
        <w:t>The organization provides comprehensive leave arrangements designed to support employee well-being, rest, health recovery, and family obligations.</w:t>
      </w:r>
    </w:p>
    <w:p>
      <w:pPr>
        <w:pStyle w:val="Heading2"/>
      </w:pPr>
      <w:r>
        <w:t>2.1 Annual Paid Leave</w:t>
      </w:r>
    </w:p>
    <w:p>
      <w:r>
        <w:t>Full-time employees accrue 24 days of paid annual leave per calendar year, calculated at the rate of 2.0 working days for every completed month of active service.</w:t>
      </w:r>
    </w:p>
    <w:p>
      <w:pPr>
        <w:pStyle w:val="Heading3"/>
      </w:pPr>
      <w:r>
        <w:t>Rule 2.1.4 Carry-Forward Restrictions</w:t>
      </w:r>
    </w:p>
    <w:p>
      <w:r>
        <w:t>A maximum of 8 unused annual leave days may be carried forward into the subsequent calendar year. Any surplus beyond 8 days will automatically lapse on March 31 unless granted an executive waiver.</w:t>
      </w:r>
    </w:p>
    <w:p>
      <w:pPr>
        <w:pStyle w:val="Heading2"/>
      </w:pPr>
      <w:r>
        <w:t>2.2 Sick and Medical Leave</w:t>
      </w:r>
    </w:p>
    <w:p>
      <w:r>
        <w:t>Staff members are eligible for 12 days of paid sick leave annually. Absences exceeding two consecutive working days require a medical practitioner certificate submitted via Form HR-702.</w:t>
      </w:r>
    </w:p>
    <w:p>
      <w:pPr>
        <w:pStyle w:val="Heading3"/>
      </w:pPr>
      <w:r>
        <w:t>Rule 2.2.9 Critical Illness Coverage</w:t>
      </w:r>
    </w:p>
    <w:p>
      <w:r>
        <w:t>In instances of prolonged hospitalization, employees may draw down extended disability pay as stipulated in medical schedule MS-4.</w:t>
      </w:r>
    </w:p>
    <w:tbl>
      <w:tblPr>
        <w:tblW w:type="auto" w:w="0"/>
        <w:tblLook w:firstColumn="1" w:firstRow="1" w:lastColumn="0" w:lastRow="0" w:noHBand="0" w:noVBand="1" w:val="04A0"/>
      </w:tblPr>
      <w:tblGrid>
        <w:gridCol w:w="2880"/>
        <w:gridCol w:w="2880"/>
        <w:gridCol w:w="2880"/>
      </w:tblGrid>
      <w:tr>
        <w:tc>
          <w:tcPr>
            <w:tcW w:type="dxa" w:w="2880"/>
          </w:tcPr>
          <w:p>
            <w:r>
              <w:t>Leave Type</w:t>
            </w:r>
          </w:p>
        </w:tc>
        <w:tc>
          <w:tcPr>
            <w:tcW w:type="dxa" w:w="2880"/>
          </w:tcPr>
          <w:p>
            <w:r>
              <w:t>Annual Entitlement</w:t>
            </w:r>
          </w:p>
        </w:tc>
        <w:tc>
          <w:tcPr>
            <w:tcW w:type="dxa" w:w="2880"/>
          </w:tcPr>
          <w:p>
            <w:r>
              <w:t>Encashable on Separation</w:t>
            </w:r>
          </w:p>
        </w:tc>
      </w:tr>
      <w:tr>
        <w:tc>
          <w:tcPr>
            <w:tcW w:type="dxa" w:w="2880"/>
          </w:tcPr>
          <w:p>
            <w:r>
              <w:t>Annual Paid Leave</w:t>
            </w:r>
          </w:p>
        </w:tc>
        <w:tc>
          <w:tcPr>
            <w:tcW w:type="dxa" w:w="2880"/>
          </w:tcPr>
          <w:p>
            <w:r>
              <w:t>24 working days</w:t>
            </w:r>
          </w:p>
        </w:tc>
        <w:tc>
          <w:tcPr>
            <w:tcW w:type="dxa" w:w="2880"/>
          </w:tcPr>
          <w:p>
            <w:r>
              <w:t>Yes (up to 30 days)</w:t>
            </w:r>
          </w:p>
        </w:tc>
      </w:tr>
      <w:tr>
        <w:tc>
          <w:tcPr>
            <w:tcW w:type="dxa" w:w="2880"/>
          </w:tcPr>
          <w:p>
            <w:r>
              <w:t>Sick and Medical Leave</w:t>
            </w:r>
          </w:p>
        </w:tc>
        <w:tc>
          <w:tcPr>
            <w:tcW w:type="dxa" w:w="2880"/>
          </w:tcPr>
          <w:p>
            <w:r>
              <w:t>12 working days</w:t>
            </w:r>
          </w:p>
        </w:tc>
        <w:tc>
          <w:tcPr>
            <w:tcW w:type="dxa" w:w="2880"/>
          </w:tcPr>
          <w:p>
            <w:r>
              <w:t>No</w:t>
            </w:r>
          </w:p>
        </w:tc>
      </w:tr>
      <w:tr>
        <w:tc>
          <w:tcPr>
            <w:tcW w:type="dxa" w:w="2880"/>
          </w:tcPr>
          <w:p>
            <w:r>
              <w:t>Compassionate Leave</w:t>
            </w:r>
          </w:p>
        </w:tc>
        <w:tc>
          <w:tcPr>
            <w:tcW w:type="dxa" w:w="2880"/>
          </w:tcPr>
          <w:p>
            <w:r>
              <w:t>5 days</w:t>
            </w:r>
          </w:p>
        </w:tc>
        <w:tc>
          <w:tcPr>
            <w:tcW w:type="dxa" w:w="2880"/>
          </w:tcPr>
          <w:p>
            <w:r>
              <w:t>No</w:t>
            </w:r>
          </w:p>
        </w:tc>
      </w:tr>
    </w:tbl>
    <w:p>
      <w:pPr>
        <w:pStyle w:val="Heading1"/>
      </w:pPr>
      <w:r>
        <w:t>3. Separation, Resignation and Exit Terms</w:t>
      </w:r>
    </w:p>
    <w:p>
      <w:r>
        <w:t>This section outlines notice periods, property return, and financial settlements upon termination or voluntary resignation.</w:t>
      </w:r>
    </w:p>
    <w:p>
      <w:pPr>
        <w:pStyle w:val="Heading2"/>
      </w:pPr>
      <w:r>
        <w:t>3.1 Voluntary Resignation and Notice Period</w:t>
      </w:r>
    </w:p>
    <w:p>
      <w:r>
        <w:t>Permanent employees who wish to terminate their employment agreement must tender formal written notice at least 60 calendar days in advance to their designated reporting officer.</w:t>
      </w:r>
    </w:p>
    <w:p>
      <w:pPr>
        <w:pStyle w:val="Heading2"/>
      </w:pPr>
      <w:r>
        <w:t>3.2 Leave Settlement on Departure</w:t>
      </w:r>
    </w:p>
    <w:p>
      <w:r>
        <w:t>All accrued but unutilized annual leave will be settled in the final paycheck as per rule 63.7.4. Employees under active notice may not take paid leave without the written authorization of the Vice President of HR.</w:t>
      </w:r>
    </w:p>
    <w:p>
      <w:pPr>
        <w:pStyle w:val="Heading2"/>
      </w:pPr>
      <w:r>
        <w:t>3.3 Exit Handover Protocols</w:t>
      </w:r>
    </w:p>
    <w:p>
      <w:r>
        <w:t>All corporate computing assets, access cards, and confidential proprietary material must be surrendered to the department supervisor on the final working day.</w:t>
      </w:r>
    </w:p>
    <w:p>
      <w:pPr>
        <w:pStyle w:val="Heading1"/>
      </w:pPr>
      <w:r>
        <w:t>4. Information Technology and Security</w:t>
      </w:r>
    </w:p>
    <w:p>
      <w:r>
        <w:t>Company-issued electronic devices, networks, credentials, and software are restricted exclusively to authorized business usage.</w:t>
      </w:r>
    </w:p>
    <w:p>
      <w:pPr>
        <w:pStyle w:val="Heading2"/>
      </w:pPr>
      <w:r>
        <w:t>Clause 4.2 Security Credential Protocols</w:t>
      </w:r>
    </w:p>
    <w:p>
      <w:r>
        <w:t>Multi-factor authentication (MFA) is strictly mandatory on all internal systems. Passwords must be at least 16 characters in length and refreshed every 90 days as mandated by standard ISO-27001.</w:t>
      </w:r>
    </w:p>
    <w:p>
      <w:pPr>
        <w:pStyle w:val="Heading2"/>
      </w:pPr>
      <w:r>
        <w:t>Clause 5.1 Remote Work Policy</w:t>
      </w:r>
    </w:p>
    <w:p>
      <w:r>
        <w:t>Employees authorized for remote work must maintain a private, secure workspace. Public unsecured Wi-Fi connections without VPN encapsulation are strictly prohibited.</w:t>
      </w:r>
    </w:p>
    <w:p>
      <w:pPr>
        <w:pStyle w:val="Heading1"/>
      </w:pPr>
      <w:r>
        <w:t>5. Statutory Schedules and Specialized Rules</w:t>
      </w:r>
    </w:p>
    <w:p>
      <w:pPr>
        <w:pStyle w:val="Heading2"/>
      </w:pPr>
      <w:r>
        <w:t>Rule 63.7.4 Leave Encashment on Resignation</w:t>
      </w:r>
    </w:p>
    <w:p>
      <w:r>
        <w:t>Upon voluntary resignation or formal separation, accrued annual leave days up to a cap of 30 working days shall be encashed at the employee base salary daily rate, computed as monthly basic pay divided by 22 working days. Sick leave, compassionate leave, and floating holidays are strictly non-encashable and non-transferable.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