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NovaTech Global - Vendor Evaluation &amp; Procurement Strategy</w:t>
      </w:r>
    </w:p>
    <w:p>
      <w:pPr>
        <w:jc w:val="center"/>
      </w:pPr>
      <w:r>
        <w:t>Classification: INTERNAL | Version 1.0 | August 2026</w:t>
      </w:r>
    </w:p>
    <w:p>
      <w:pPr>
        <w:pStyle w:val="Heading1"/>
      </w:pPr>
      <w:r>
        <w:t>1. Executive Context</w:t>
      </w:r>
    </w:p>
    <w:p>
      <w:r>
        <w:t>NovaTech is evaluating strategic platforms for governed enterprise data and AI workloads. The assessment balances retrieval quality, structured analytics, governance, operational simplicity, interoperability, AI safety, observability, and total cost of ownership.</w:t>
      </w:r>
    </w:p>
    <w:p>
      <w:pPr>
        <w:pStyle w:val="Heading1"/>
      </w:pPr>
      <w:r>
        <w:t>2. Evaluation Criteria</w:t>
      </w:r>
    </w:p>
    <w:tbl>
      <w:tblPr>
        <w:tblW w:type="auto" w:w="0"/>
        <w:jc w:val="center"/>
        <w:tblLook w:firstColumn="1" w:firstRow="1" w:lastColumn="0" w:lastRow="0" w:noHBand="0" w:noVBand="1" w:val="04A0"/>
      </w:tblPr>
      <w:tblGrid>
        <w:gridCol w:w="2880"/>
        <w:gridCol w:w="2880"/>
        <w:gridCol w:w="2880"/>
      </w:tblGrid>
      <w:tr>
        <w:tc>
          <w:tcPr>
            <w:tcW w:type="dxa" w:w="2880"/>
            <w:shd w:fill="D9EAF7"/>
          </w:tcPr>
          <w:p>
            <w:r>
              <w:t>Criterion</w:t>
            </w:r>
          </w:p>
        </w:tc>
        <w:tc>
          <w:tcPr>
            <w:tcW w:type="dxa" w:w="2880"/>
            <w:shd w:fill="D9EAF7"/>
          </w:tcPr>
          <w:p>
            <w:r>
              <w:t>Weight</w:t>
            </w:r>
          </w:p>
        </w:tc>
        <w:tc>
          <w:tcPr>
            <w:tcW w:type="dxa" w:w="2880"/>
            <w:shd w:fill="D9EAF7"/>
          </w:tcPr>
          <w:p>
            <w:r>
              <w:t>Interpretation</w:t>
            </w:r>
          </w:p>
        </w:tc>
      </w:tr>
      <w:tr>
        <w:tc>
          <w:tcPr>
            <w:tcW w:type="dxa" w:w="2880"/>
          </w:tcPr>
          <w:p>
            <w:r>
              <w:t>Governance &amp; Security</w:t>
            </w:r>
          </w:p>
        </w:tc>
        <w:tc>
          <w:tcPr>
            <w:tcW w:type="dxa" w:w="2880"/>
          </w:tcPr>
          <w:p>
            <w:r>
              <w:t>25%</w:t>
            </w:r>
          </w:p>
        </w:tc>
        <w:tc>
          <w:tcPr>
            <w:tcW w:type="dxa" w:w="2880"/>
          </w:tcPr>
          <w:p>
            <w:r>
              <w:t>RBAC, masking, lineage, auditability, policy enforcement</w:t>
            </w:r>
          </w:p>
        </w:tc>
      </w:tr>
      <w:tr>
        <w:tc>
          <w:tcPr>
            <w:tcW w:type="dxa" w:w="2880"/>
          </w:tcPr>
          <w:p>
            <w:r>
              <w:t>AI &amp; RAG Integration</w:t>
            </w:r>
          </w:p>
        </w:tc>
        <w:tc>
          <w:tcPr>
            <w:tcW w:type="dxa" w:w="2880"/>
          </w:tcPr>
          <w:p>
            <w:r>
              <w:t>25%</w:t>
            </w:r>
          </w:p>
        </w:tc>
        <w:tc>
          <w:tcPr>
            <w:tcW w:type="dxa" w:w="2880"/>
          </w:tcPr>
          <w:p>
            <w:r>
              <w:t>Search, embeddings, agents, tool calling, model access</w:t>
            </w:r>
          </w:p>
        </w:tc>
      </w:tr>
      <w:tr>
        <w:tc>
          <w:tcPr>
            <w:tcW w:type="dxa" w:w="2880"/>
          </w:tcPr>
          <w:p>
            <w:r>
              <w:t>Data Engineering</w:t>
            </w:r>
          </w:p>
        </w:tc>
        <w:tc>
          <w:tcPr>
            <w:tcW w:type="dxa" w:w="2880"/>
          </w:tcPr>
          <w:p>
            <w:r>
              <w:t>20%</w:t>
            </w:r>
          </w:p>
        </w:tc>
        <w:tc>
          <w:tcPr>
            <w:tcW w:type="dxa" w:w="2880"/>
          </w:tcPr>
          <w:p>
            <w:r>
              <w:t>Batch/streaming, transformation, workload flexibility</w:t>
            </w:r>
          </w:p>
        </w:tc>
      </w:tr>
      <w:tr>
        <w:tc>
          <w:tcPr>
            <w:tcW w:type="dxa" w:w="2880"/>
          </w:tcPr>
          <w:p>
            <w:r>
              <w:t>Interoperability</w:t>
            </w:r>
          </w:p>
        </w:tc>
        <w:tc>
          <w:tcPr>
            <w:tcW w:type="dxa" w:w="2880"/>
          </w:tcPr>
          <w:p>
            <w:r>
              <w:t>15%</w:t>
            </w:r>
          </w:p>
        </w:tc>
        <w:tc>
          <w:tcPr>
            <w:tcW w:type="dxa" w:w="2880"/>
          </w:tcPr>
          <w:p>
            <w:r>
              <w:t>Open interfaces, partner ecosystem, cross-cloud integration</w:t>
            </w:r>
          </w:p>
        </w:tc>
      </w:tr>
      <w:tr>
        <w:tc>
          <w:tcPr>
            <w:tcW w:type="dxa" w:w="2880"/>
          </w:tcPr>
          <w:p>
            <w:r>
              <w:t>FinOps &amp; Operability</w:t>
            </w:r>
          </w:p>
        </w:tc>
        <w:tc>
          <w:tcPr>
            <w:tcW w:type="dxa" w:w="2880"/>
          </w:tcPr>
          <w:p>
            <w:r>
              <w:t>15%</w:t>
            </w:r>
          </w:p>
        </w:tc>
        <w:tc>
          <w:tcPr>
            <w:tcW w:type="dxa" w:w="2880"/>
          </w:tcPr>
          <w:p>
            <w:r>
              <w:t>Cost transparency, observability, scaling controls</w:t>
            </w:r>
          </w:p>
        </w:tc>
      </w:tr>
    </w:tbl>
    <w:p>
      <w:pPr>
        <w:pStyle w:val="Heading1"/>
      </w:pPr>
      <w:r>
        <w:t>3. Illustrative Findings</w:t>
      </w:r>
    </w:p>
    <w:p>
      <w:r>
        <w:t>Snowflake scores strongly where governed enterprise knowledge, integrated search, secure data sharing, and lower orchestration complexity are priorities. Databricks scores strongly for engineering-centric AI/ML and lakehouse flexibility. Microsoft scores strongly where enterprises standardize on Azure and Microsoft productivity/security ecosystems.</w:t>
      </w:r>
    </w:p>
    <w:p>
      <w:pPr>
        <w:pStyle w:val="Heading1"/>
      </w:pPr>
      <w:r>
        <w:t>4. Procurement Recommendation</w:t>
      </w:r>
    </w:p>
    <w:p>
      <w:r>
        <w:t>For the Enterprise AI Knowledge Platform use case, NovaTech recommends a Snowflake-native reference implementation while retaining platform-neutral architectural interfaces. This recommendation is scoped to the demonstration use case and is not a universal vendor ranking.</w:t>
      </w:r>
    </w:p>
    <w:p>
      <w:pPr>
        <w:pStyle w:val="Heading1"/>
      </w:pPr>
      <w:r>
        <w:t>5. Risk &amp; Decision Notes</w:t>
      </w:r>
    </w:p>
    <w:p>
      <w:pPr>
        <w:pStyle w:val="ListBullet"/>
      </w:pPr>
      <w:r>
        <w:t>Do not equate vector similarity with authorization.</w:t>
      </w:r>
    </w:p>
    <w:p>
      <w:pPr>
        <w:pStyle w:val="ListBullet"/>
      </w:pPr>
      <w:r>
        <w:t>Do not expose restricted documents merely because they are semantically relevant.</w:t>
      </w:r>
    </w:p>
    <w:p>
      <w:pPr>
        <w:pStyle w:val="ListBullet"/>
      </w:pPr>
      <w:r>
        <w:t>Require evidence-backed responses and controlled abstention when evidence is insufficient.</w:t>
      </w:r>
    </w:p>
    <w:p>
      <w:pPr>
        <w:pStyle w:val="ListBullet"/>
      </w:pPr>
      <w:r>
        <w:t>Treat retrieved external content as data, never as trusted instruction.</w:t>
      </w:r>
    </w:p>
    <w:p>
      <w:pPr>
        <w:pStyle w:val="ListBullet"/>
      </w:pPr>
      <w:r>
        <w:t>Monitor tool selection, retrieval quality, token usage, latency, guardrail events, and cost.</w:t>
      </w:r>
    </w:p>
    <w:p>
      <w:r>
        <w:t>Synthetic document created for Enterprise AI architecture demonstration.</w:t>
      </w:r>
    </w:p>
    <w:p>
      <w:pPr>
        <w:pStyle w:val="Heading1"/>
      </w:pPr>
      <w:r>
        <w:t>6. Illustrative TCO Assumptions</w:t>
      </w:r>
    </w:p>
    <w:tbl>
      <w:tblPr>
        <w:tblW w:type="auto" w:w="0"/>
        <w:jc w:val="center"/>
        <w:tblLook w:firstColumn="1" w:firstRow="1" w:lastColumn="0" w:lastRow="0" w:noHBand="0" w:noVBand="1" w:val="04A0"/>
      </w:tblPr>
      <w:tblGrid>
        <w:gridCol w:w="2880"/>
        <w:gridCol w:w="2880"/>
        <w:gridCol w:w="2880"/>
      </w:tblGrid>
      <w:tr>
        <w:tc>
          <w:tcPr>
            <w:tcW w:type="dxa" w:w="2880"/>
            <w:shd w:fill="D9EAF7"/>
          </w:tcPr>
          <w:p>
            <w:r>
              <w:t>Cost Area</w:t>
            </w:r>
          </w:p>
        </w:tc>
        <w:tc>
          <w:tcPr>
            <w:tcW w:type="dxa" w:w="2880"/>
            <w:shd w:fill="D9EAF7"/>
          </w:tcPr>
          <w:p>
            <w:r>
              <w:t>Decision Question</w:t>
            </w:r>
          </w:p>
        </w:tc>
        <w:tc>
          <w:tcPr>
            <w:tcW w:type="dxa" w:w="2880"/>
            <w:shd w:fill="D9EAF7"/>
          </w:tcPr>
          <w:p>
            <w:r>
              <w:t>Demo Interpretation</w:t>
            </w:r>
          </w:p>
        </w:tc>
      </w:tr>
      <w:tr>
        <w:tc>
          <w:tcPr>
            <w:tcW w:type="dxa" w:w="2880"/>
          </w:tcPr>
          <w:p>
            <w:r>
              <w:t>Platform consumption</w:t>
            </w:r>
          </w:p>
        </w:tc>
        <w:tc>
          <w:tcPr>
            <w:tcW w:type="dxa" w:w="2880"/>
          </w:tcPr>
          <w:p>
            <w:r>
              <w:t>Can workloads scale without permanent over-provisioning?</w:t>
            </w:r>
          </w:p>
        </w:tc>
        <w:tc>
          <w:tcPr>
            <w:tcW w:type="dxa" w:w="2880"/>
          </w:tcPr>
          <w:p>
            <w:r>
              <w:t>Evaluate compute, AI inference, search and refresh costs.</w:t>
            </w:r>
          </w:p>
        </w:tc>
      </w:tr>
      <w:tr>
        <w:tc>
          <w:tcPr>
            <w:tcW w:type="dxa" w:w="2880"/>
          </w:tcPr>
          <w:p>
            <w:r>
              <w:t>Integration</w:t>
            </w:r>
          </w:p>
        </w:tc>
        <w:tc>
          <w:tcPr>
            <w:tcW w:type="dxa" w:w="2880"/>
          </w:tcPr>
          <w:p>
            <w:r>
              <w:t>How many external services are required?</w:t>
            </w:r>
          </w:p>
        </w:tc>
        <w:tc>
          <w:tcPr>
            <w:tcW w:type="dxa" w:w="2880"/>
          </w:tcPr>
          <w:p>
            <w:r>
              <w:t>Fewer moving parts can reduce operating complexity.</w:t>
            </w:r>
          </w:p>
        </w:tc>
      </w:tr>
      <w:tr>
        <w:tc>
          <w:tcPr>
            <w:tcW w:type="dxa" w:w="2880"/>
          </w:tcPr>
          <w:p>
            <w:r>
              <w:t>Governance</w:t>
            </w:r>
          </w:p>
        </w:tc>
        <w:tc>
          <w:tcPr>
            <w:tcW w:type="dxa" w:w="2880"/>
          </w:tcPr>
          <w:p>
            <w:r>
              <w:t>Is control centralized or duplicated?</w:t>
            </w:r>
          </w:p>
        </w:tc>
        <w:tc>
          <w:tcPr>
            <w:tcW w:type="dxa" w:w="2880"/>
          </w:tcPr>
          <w:p>
            <w:r>
              <w:t>Prefer policy enforcement close to governed data.</w:t>
            </w:r>
          </w:p>
        </w:tc>
      </w:tr>
      <w:tr>
        <w:tc>
          <w:tcPr>
            <w:tcW w:type="dxa" w:w="2880"/>
          </w:tcPr>
          <w:p>
            <w:r>
              <w:t>Operations</w:t>
            </w:r>
          </w:p>
        </w:tc>
        <w:tc>
          <w:tcPr>
            <w:tcW w:type="dxa" w:w="2880"/>
          </w:tcPr>
          <w:p>
            <w:r>
              <w:t>Can teams trace quality, latency and cost?</w:t>
            </w:r>
          </w:p>
        </w:tc>
        <w:tc>
          <w:tcPr>
            <w:tcW w:type="dxa" w:w="2880"/>
          </w:tcPr>
          <w:p>
            <w:r>
              <w:t>Observability is part of production readiness, not an afterthought.</w:t>
            </w:r>
          </w:p>
        </w:tc>
      </w:tr>
    </w:tbl>
    <w:p>
      <w:pPr>
        <w:pStyle w:val="Heading1"/>
      </w:pPr>
      <w:r>
        <w:t>7. Risk Register</w:t>
      </w:r>
    </w:p>
    <w:p>
      <w:pPr>
        <w:pStyle w:val="ListBullet"/>
      </w:pPr>
      <w:r>
        <w:t>Retrieval relevance can be high while the source is stale or unauthorized.</w:t>
      </w:r>
    </w:p>
    <w:p>
      <w:pPr>
        <w:pStyle w:val="ListBullet"/>
      </w:pPr>
      <w:r>
        <w:t>Agent routing can select a technically valid tool that is inappropriate for the user's role.</w:t>
      </w:r>
    </w:p>
    <w:p>
      <w:pPr>
        <w:pStyle w:val="ListBullet"/>
      </w:pPr>
      <w:r>
        <w:t>Long-term memory can become a privacy and retention risk if treated as unlimited chat history.</w:t>
      </w:r>
    </w:p>
    <w:p>
      <w:pPr>
        <w:pStyle w:val="ListBullet"/>
      </w:pPr>
      <w:r>
        <w:t>External web or uploaded content can contain indirect prompt-injection instructions.</w:t>
      </w:r>
    </w:p>
    <w:p>
      <w:r>
        <w:t>End of synthetic procurement assessment.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