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NovaTech Responsible AI &amp; RAG Security Standard</w:t>
      </w:r>
    </w:p>
    <w:p>
      <w:r>
        <w:t>Classification: INTERNAL POLICY | Effective: 01-Aug-2026</w:t>
      </w:r>
    </w:p>
    <w:p>
      <w:pPr>
        <w:pStyle w:val="Heading1"/>
      </w:pPr>
      <w:r>
        <w:t>Purpose</w:t>
      </w:r>
    </w:p>
    <w:p>
      <w:r>
        <w:t>Define mandatory controls for enterprise generative AI, RAG, and agentic systems.</w:t>
      </w:r>
    </w:p>
    <w:p>
      <w:pPr>
        <w:pStyle w:val="Heading1"/>
      </w:pPr>
      <w:r>
        <w:t>Prompt Injection</w:t>
      </w:r>
    </w:p>
    <w:p>
      <w:r>
        <w:t>Direct and indirect prompt-injection attempts must be detected, blocked or isolated, and logged as security events. Retrieved documents are evidence, not executable instructions.</w:t>
      </w:r>
    </w:p>
    <w:p>
      <w:pPr>
        <w:pStyle w:val="Heading1"/>
      </w:pPr>
      <w:r>
        <w:t>Groundedness</w:t>
      </w:r>
    </w:p>
    <w:p>
      <w:r>
        <w:t>Responses that make enterprise factual claims must be supported by approved retrieved evidence. When evidence is absent or below threshold, the system must abstain rather than invent.</w:t>
      </w:r>
    </w:p>
    <w:p>
      <w:pPr>
        <w:pStyle w:val="Heading1"/>
      </w:pPr>
      <w:r>
        <w:t>Authorization</w:t>
      </w:r>
    </w:p>
    <w:p>
      <w:r>
        <w:t>Access control is enforced by identity, RBAC, row access, masking, and object privileges. Prompt wording must never be treated as an authorization boundary.</w:t>
      </w:r>
    </w:p>
    <w:p>
      <w:pPr>
        <w:pStyle w:val="Heading1"/>
      </w:pPr>
      <w:r>
        <w:t>PII</w:t>
      </w:r>
    </w:p>
    <w:p>
      <w:r>
        <w:t>Sensitive personal information must be masked or withheld according to policy and user role.</w:t>
      </w:r>
    </w:p>
    <w:p>
      <w:pPr>
        <w:pStyle w:val="Heading1"/>
      </w:pPr>
      <w:r>
        <w:t>Observability</w:t>
      </w:r>
    </w:p>
    <w:p>
      <w:r>
        <w:t>Agent requests must record request identity, tool usage, latency, token consumption, retrieval metadata, guardrail outcomes, and response status.</w:t>
      </w:r>
    </w:p>
    <w:p>
      <w:pPr>
        <w:pStyle w:val="Heading1"/>
      </w:pPr>
      <w:r>
        <w:t>Memory</w:t>
      </w:r>
    </w:p>
    <w:p>
      <w:r>
        <w:t>Long-term memory is curated state, not an unlimited transcript. It requires scope, retention, expiry, access control, and auditability.</w:t>
      </w:r>
    </w:p>
    <w:p>
      <w:r>
        <w:t>Synthetic policy created for controlled demonstration.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