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0907" w14:textId="4D1CCF54" w:rsidR="0096128D" w:rsidRPr="00936AEF" w:rsidRDefault="00936AEF" w:rsidP="00936A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AEF">
        <w:rPr>
          <w:rFonts w:ascii="Times New Roman" w:hAnsi="Times New Roman" w:cs="Times New Roman"/>
          <w:b/>
          <w:bCs/>
          <w:sz w:val="28"/>
          <w:szCs w:val="28"/>
        </w:rPr>
        <w:t>KPI Definitions – Revenue Leakage &amp; Financial Risk Analytics</w:t>
      </w:r>
    </w:p>
    <w:p w14:paraId="3161BA9B" w14:textId="77777777" w:rsidR="00936AEF" w:rsidRDefault="00936AEF" w:rsidP="00936AE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922"/>
        <w:gridCol w:w="2869"/>
      </w:tblGrid>
      <w:tr w:rsidR="00936AEF" w:rsidRPr="00936AEF" w14:paraId="1C50153B" w14:textId="77777777" w:rsidTr="00936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AA451" w14:textId="77777777" w:rsidR="00936AEF" w:rsidRPr="00936AEF" w:rsidRDefault="00936AEF" w:rsidP="00936A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7A1E92C3" w14:textId="77777777" w:rsidR="00936AEF" w:rsidRPr="00936AEF" w:rsidRDefault="00936AEF" w:rsidP="00936A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1F12CCB" w14:textId="77777777" w:rsidR="00936AEF" w:rsidRPr="00936AEF" w:rsidRDefault="00936AEF" w:rsidP="00936A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Purpose</w:t>
            </w:r>
          </w:p>
        </w:tc>
      </w:tr>
      <w:tr w:rsidR="00936AEF" w:rsidRPr="00936AEF" w14:paraId="007C2627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35BA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SLA Penalty</w:t>
            </w:r>
          </w:p>
        </w:tc>
        <w:tc>
          <w:tcPr>
            <w:tcW w:w="0" w:type="auto"/>
            <w:vAlign w:val="center"/>
            <w:hideMark/>
          </w:tcPr>
          <w:p w14:paraId="2B590161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Total monetary penalty incurred due to delayed invoice payments</w:t>
            </w:r>
          </w:p>
        </w:tc>
        <w:tc>
          <w:tcPr>
            <w:tcW w:w="0" w:type="auto"/>
            <w:vAlign w:val="center"/>
            <w:hideMark/>
          </w:tcPr>
          <w:p w14:paraId="1096B3CB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Measure financial loss due to SLA breaches</w:t>
            </w:r>
          </w:p>
        </w:tc>
      </w:tr>
      <w:tr w:rsidR="00936AEF" w:rsidRPr="00936AEF" w14:paraId="2FC76714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4A82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Delayed Invoices</w:t>
            </w:r>
          </w:p>
        </w:tc>
        <w:tc>
          <w:tcPr>
            <w:tcW w:w="0" w:type="auto"/>
            <w:vAlign w:val="center"/>
            <w:hideMark/>
          </w:tcPr>
          <w:p w14:paraId="12C73ABE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Count of invoices where payment was delayed</w:t>
            </w:r>
          </w:p>
        </w:tc>
        <w:tc>
          <w:tcPr>
            <w:tcW w:w="0" w:type="auto"/>
            <w:vAlign w:val="center"/>
            <w:hideMark/>
          </w:tcPr>
          <w:p w14:paraId="00253DFB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Track SLA non-compliance volume</w:t>
            </w:r>
          </w:p>
        </w:tc>
      </w:tr>
      <w:tr w:rsidR="00936AEF" w:rsidRPr="00936AEF" w14:paraId="0EC0682C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3A25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 Days Delayed</w:t>
            </w:r>
          </w:p>
        </w:tc>
        <w:tc>
          <w:tcPr>
            <w:tcW w:w="0" w:type="auto"/>
            <w:vAlign w:val="center"/>
            <w:hideMark/>
          </w:tcPr>
          <w:p w14:paraId="5C255111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Average number of days invoices were delayed</w:t>
            </w:r>
          </w:p>
        </w:tc>
        <w:tc>
          <w:tcPr>
            <w:tcW w:w="0" w:type="auto"/>
            <w:vAlign w:val="center"/>
            <w:hideMark/>
          </w:tcPr>
          <w:p w14:paraId="1EA3D8C9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Assess severity of payment delays</w:t>
            </w:r>
          </w:p>
        </w:tc>
      </w:tr>
      <w:tr w:rsidR="00936AEF" w:rsidRPr="00936AEF" w14:paraId="1A71B667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68F3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Outstanding Amount</w:t>
            </w:r>
          </w:p>
        </w:tc>
        <w:tc>
          <w:tcPr>
            <w:tcW w:w="0" w:type="auto"/>
            <w:vAlign w:val="center"/>
            <w:hideMark/>
          </w:tcPr>
          <w:p w14:paraId="180E145C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Total unpaid invoice amount</w:t>
            </w:r>
          </w:p>
        </w:tc>
        <w:tc>
          <w:tcPr>
            <w:tcW w:w="0" w:type="auto"/>
            <w:vAlign w:val="center"/>
            <w:hideMark/>
          </w:tcPr>
          <w:p w14:paraId="6F2FDE58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Monitor pending revenue</w:t>
            </w:r>
          </w:p>
        </w:tc>
      </w:tr>
      <w:tr w:rsidR="00936AEF" w:rsidRPr="00936AEF" w14:paraId="08D7785F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5E91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Revenue Leakage Amount</w:t>
            </w:r>
          </w:p>
        </w:tc>
        <w:tc>
          <w:tcPr>
            <w:tcW w:w="0" w:type="auto"/>
            <w:vAlign w:val="center"/>
            <w:hideMark/>
          </w:tcPr>
          <w:p w14:paraId="268BAFA7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Revenue at risk due to delays and penalties</w:t>
            </w:r>
          </w:p>
        </w:tc>
        <w:tc>
          <w:tcPr>
            <w:tcW w:w="0" w:type="auto"/>
            <w:vAlign w:val="center"/>
            <w:hideMark/>
          </w:tcPr>
          <w:p w14:paraId="57DE5E60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Identify revenue loss exposure</w:t>
            </w:r>
          </w:p>
        </w:tc>
      </w:tr>
      <w:tr w:rsidR="00936AEF" w:rsidRPr="00936AEF" w14:paraId="56D6A8BE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92C7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Delay Bucket</w:t>
            </w:r>
          </w:p>
        </w:tc>
        <w:tc>
          <w:tcPr>
            <w:tcW w:w="0" w:type="auto"/>
            <w:vAlign w:val="center"/>
            <w:hideMark/>
          </w:tcPr>
          <w:p w14:paraId="01D8B3F7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Categorization of delays (0–15, 16–30, 30+ days)</w:t>
            </w:r>
          </w:p>
        </w:tc>
        <w:tc>
          <w:tcPr>
            <w:tcW w:w="0" w:type="auto"/>
            <w:vAlign w:val="center"/>
            <w:hideMark/>
          </w:tcPr>
          <w:p w14:paraId="717CABC5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Prioritize delay management</w:t>
            </w:r>
          </w:p>
        </w:tc>
      </w:tr>
      <w:tr w:rsidR="00936AEF" w:rsidRPr="00936AEF" w14:paraId="2C192B8A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5B77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1C05A0ED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Classification of invoices into Low, Medium, and High risk</w:t>
            </w:r>
          </w:p>
        </w:tc>
        <w:tc>
          <w:tcPr>
            <w:tcW w:w="0" w:type="auto"/>
            <w:vAlign w:val="center"/>
            <w:hideMark/>
          </w:tcPr>
          <w:p w14:paraId="1EFB5C85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Enable risk-based decision-making</w:t>
            </w:r>
          </w:p>
        </w:tc>
      </w:tr>
      <w:tr w:rsidR="00936AEF" w:rsidRPr="00936AEF" w14:paraId="23A33BEC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2313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Delay Trend</w:t>
            </w:r>
          </w:p>
        </w:tc>
        <w:tc>
          <w:tcPr>
            <w:tcW w:w="0" w:type="auto"/>
            <w:vAlign w:val="center"/>
            <w:hideMark/>
          </w:tcPr>
          <w:p w14:paraId="395676DB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Time-based pattern of invoice delays</w:t>
            </w:r>
          </w:p>
        </w:tc>
        <w:tc>
          <w:tcPr>
            <w:tcW w:w="0" w:type="auto"/>
            <w:vAlign w:val="center"/>
            <w:hideMark/>
          </w:tcPr>
          <w:p w14:paraId="451A7910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Detect delay escalation early</w:t>
            </w:r>
          </w:p>
        </w:tc>
      </w:tr>
      <w:tr w:rsidR="00936AEF" w:rsidRPr="00936AEF" w14:paraId="761316D4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8FCC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Delay Reason Breakdown</w:t>
            </w:r>
          </w:p>
        </w:tc>
        <w:tc>
          <w:tcPr>
            <w:tcW w:w="0" w:type="auto"/>
            <w:vAlign w:val="center"/>
            <w:hideMark/>
          </w:tcPr>
          <w:p w14:paraId="231F4E64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Distribution of delays by root cause</w:t>
            </w:r>
          </w:p>
        </w:tc>
        <w:tc>
          <w:tcPr>
            <w:tcW w:w="0" w:type="auto"/>
            <w:vAlign w:val="center"/>
            <w:hideMark/>
          </w:tcPr>
          <w:p w14:paraId="030F1E89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Identify primary causes of leakage</w:t>
            </w:r>
          </w:p>
        </w:tc>
      </w:tr>
      <w:tr w:rsidR="00936AEF" w:rsidRPr="00936AEF" w14:paraId="0CCED847" w14:textId="77777777" w:rsidTr="0093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B189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SLA Penalty Trend</w:t>
            </w:r>
          </w:p>
        </w:tc>
        <w:tc>
          <w:tcPr>
            <w:tcW w:w="0" w:type="auto"/>
            <w:vAlign w:val="center"/>
            <w:hideMark/>
          </w:tcPr>
          <w:p w14:paraId="532AC28A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Trend of SLA penalties over time</w:t>
            </w:r>
          </w:p>
        </w:tc>
        <w:tc>
          <w:tcPr>
            <w:tcW w:w="0" w:type="auto"/>
            <w:vAlign w:val="center"/>
            <w:hideMark/>
          </w:tcPr>
          <w:p w14:paraId="2A7605F2" w14:textId="77777777" w:rsidR="00936AEF" w:rsidRPr="00936AEF" w:rsidRDefault="00936AEF" w:rsidP="00936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6AEF">
              <w:rPr>
                <w:rFonts w:ascii="Times New Roman" w:hAnsi="Times New Roman" w:cs="Times New Roman"/>
                <w:sz w:val="28"/>
                <w:szCs w:val="28"/>
              </w:rPr>
              <w:t>Track financial impact progression</w:t>
            </w:r>
          </w:p>
        </w:tc>
      </w:tr>
    </w:tbl>
    <w:p w14:paraId="008F7B62" w14:textId="77777777" w:rsidR="00936AEF" w:rsidRPr="00936AEF" w:rsidRDefault="00936AEF" w:rsidP="00936AEF"/>
    <w:sectPr w:rsidR="00936AEF" w:rsidRPr="00936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EF"/>
    <w:rsid w:val="000C6FB1"/>
    <w:rsid w:val="001077AA"/>
    <w:rsid w:val="00265970"/>
    <w:rsid w:val="006212A1"/>
    <w:rsid w:val="00936AEF"/>
    <w:rsid w:val="0096128D"/>
    <w:rsid w:val="00A0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B97E"/>
  <w15:chartTrackingRefBased/>
  <w15:docId w15:val="{3F72C9EE-6CEB-4C4C-B230-77841E48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Suvithra J</dc:creator>
  <cp:keywords/>
  <dc:description/>
  <cp:lastModifiedBy>Suvithra J</cp:lastModifiedBy>
  <cp:revision>1</cp:revision>
  <dcterms:created xsi:type="dcterms:W3CDTF">2026-01-05T11:24:00Z</dcterms:created>
  <dcterms:modified xsi:type="dcterms:W3CDTF">2026-01-05T11:27:00Z</dcterms:modified>
</cp:coreProperties>
</file>