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CyberRiskIQ Copilot — Risk-Quantification Gap Analysis &amp; Roadmap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Self-contained gap analysis of the chatbot architecture: missing risk-quantification components, chatbot-only fixes, executive-language correction, CPU-only/low-disk model options, and a build-ready agent prompt with every formula spelled out inline.</w:t>
      </w:r>
    </w:p>
    <w:p>
      <w:pPr>
        <w:pStyle w:val="Heading1"/>
        <w:spacing w:after="120" w:before="240"/>
      </w:pPr>
      <w:r>
        <w:t xml:space="preserve">1. Full Gap Analysis — Missing Risk-Quantification Components</w:t>
      </w:r>
    </w:p>
    <w:p>
      <w:pPr>
        <w:spacing w:after="120"/>
      </w:pPr>
      <w:r>
        <w:t xml:space="preserve">Scope: entire system (compute engines + chatbot). Priority reflects how central the gap is to giving Technical + Economic + Legal (TEL) coverage.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300"/>
        <w:gridCol w:w="1900"/>
        <w:gridCol w:w="1500"/>
      </w:tblGrid>
      <w:tr>
        <w:tc>
          <w:tcPr>
            <w:tcW w:type="dxa" w:w="29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Risk-Quant Component</w:t>
            </w:r>
          </w:p>
        </w:tc>
        <w:tc>
          <w:tcPr>
            <w:tcW w:type="dxa" w:w="33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 in CyberRiskIQ</w:t>
            </w:r>
          </w:p>
        </w:tc>
        <w:tc>
          <w:tcPr>
            <w:tcW w:type="dxa" w:w="33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What's Missing</w:t>
            </w:r>
          </w:p>
        </w:tc>
        <w:tc>
          <w:tcPr>
            <w:tcW w:type="dxa" w:w="19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Business Analysis module (business units, segments, revenue-weighting)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 — AssetTopologyGraph only stores asset tier/dependency, no revenue-per-segment or business-unit hierarchy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Segment definition step; % of revenue per segment/unit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n/a (data model)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Segment financial impact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 — FAIR engine computes EAL/VaR from daily revenue + replacement cost only, not per-segment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Segment-level $ impact breakdown output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SegImpact = SegRevenue x Impact_w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Segment actual risk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Actual (as opposed to worst-case) segment risk figure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SegRisk = SegImpact x (Impact_w x Risk_w)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Domain prioritization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 — no output ranks which security domain to fund first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Domain-priority ranking in the technical/executive response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D_priority = T_w x (alpha + Impact_w)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Control maturity multipliers (Not Implemented to Optimized, 1.25 to 0.25)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 — CVSS/controls are hardcoded defaults (base_score=9.8), no maturity input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Maturity slot in NLU + control-efficacy formula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ControlEfficacy_T = Efficacy_T x (1.25-MaturityLevel)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Cost-adjusted ROSI (adds control efficacy + cost rate)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PARTIAL — rosi_optimizer.py implements classic Gordon-Loeb/ROSI (0.37xEAL cap), not the cost-adjusted extension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CostRate + ControlEfficacy terms in the ROSI formula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Z-ROSI = ((ALExControlEfficacy)-(ControlCostxCostRate))/(ControlCostxCostRate)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CIA-based exposure and annual loss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 — xai_trust.py computes AI-explanation trust %, unrelated to CIA-triad security posture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A genuine CIA-based exposure engine feeding ALE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Exposure = 1-avg(CIA); ALE = Exposure x SegImpact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Legal / Compliance dimension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NOT PRESENT — no compliance-standard mapping (ISO 27005 / NIST / SCF) in any engine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Compliance-control lookup + regulatory-penalty term in EAL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n/a (data model + lookup)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Business-profile to threat/impact database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PARTIAL — mock_kb.py is a static CVE/vuln lookup only, not a business-profile-to-impact mapping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Sector/country/size-aware threat-impact mapping table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n/a (data model)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EPSS real percentile (FIRST.org API)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PARTIAL/APPROXIMATED — architecture's own limitation #7: assumes population z~N(-6.18,2.5) instead of live percentile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Live call to FIRST.org EPSS API for calibrated percentile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</w:rPr>
              <w:t xml:space="preserve">n/a (external API call)</w:t>
            </w:r>
          </w:p>
        </w:tc>
        <w:tc>
          <w:tcPr>
            <w:tcW w:type="dxa" w:w="1500"/>
            <w:vAlign w:val="center"/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</w:tr>
    </w:tbl>
    <w:p>
      <w:pPr>
        <w:pStyle w:val="Heading1"/>
        <w:spacing w:after="120" w:before="240"/>
      </w:pPr>
      <w:r>
        <w:t xml:space="preserve">2. Chatbot-Layer-Only Comparison</w:t>
      </w:r>
    </w:p>
    <w:p>
      <w:pPr>
        <w:spacing w:after="120"/>
      </w:pPr>
      <w:r>
        <w:t xml:space="preserve">Scope restricted to api_layer/ (NLU, routing, templates, guardrails) — no changes to core_engines/ math. Use this table if you want conversational/UX fixes without touching the frozen compute core.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300"/>
        <w:gridCol w:w="3500"/>
      </w:tblGrid>
      <w:tr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Chatbot Layer Feature</w:t>
            </w:r>
          </w:p>
        </w:tc>
        <w:tc>
          <w:tcPr>
            <w:tcW w:type="dxa" w:w="33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Current Behavior</w:t>
            </w:r>
          </w:p>
        </w:tc>
        <w:tc>
          <w:tcPr>
            <w:tcW w:type="dxa" w:w="33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35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Chatbot-Only Fix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NLU slot extraction (`_extract_slots`)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Extracts CVE id, INR budget, asset name only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 segment/business-unit, control-maturity, or CIA slots — so no downstream engine can ever receive the new inputs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</w:rPr>
              <w:t xml:space="preserve">Add regex/LLM slots: `business_unit`, `segment_name`, `segment_revenue_pct`, `control_maturity` (enum), `cia_weights`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Intent routing (`_analyze_query_intent`)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5 intents: UNIDENTIFIED, CONVERSATIONAL, GENERAL_KNOWLEDGE, SCAN_ANALYSIS, RISK_QUANTIFICATION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 `COMPLIANCE_CHECK` or `SEGMENT_PRIORITIZATION` intent to surface Legal/Domain-priority answers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</w:rPr>
              <w:t xml:space="preserve">Add 2 intents that route to (once built) compliance + domain-priority engines, keeping Zero-Math rule intact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Executive template (`format_business_briefing`)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Emits raw metric labels: "EAL INR X Cr, VaR_95 INR Y Cr, ROSI Z%, Gordon-Loeb viable: Y/N"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Too technical for a board persona — jargon (VaR, Gordon-Loeb) unexplained, no plain-language framing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</w:rPr>
              <w:t xml:space="preserve">Rewrite template to plain business language (see Section 3) — still Zero-Math, only wording changes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Technical template (`format_technical_diagnostic`)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CVSS vector, EPSS %, XAI trust % — appropriate for SOC persona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None — this persona's technical tone is correctly scoped; keep as-is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</w:rPr>
              <w:t xml:space="preserve">No change needed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Conversational concept answers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Static explanations for ROSI/EPSS/FAIR/Gordon-Loeb only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 explanation available for the new terms once added (SegImpact, cost-adjusted ROSI, Domain Priority)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</w:rPr>
              <w:t xml:space="preserve">Extend `generate_conversational_response` concept dictionary with the new terms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Guardrail (`SanityGuardrailVerifier`)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Regex-checks INR Cr/Lakhs and NN.NN% against payload; Gordon-Loeb contradiction check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No check for the new Legal/compliance claims or segment-level figures once added</w:t>
            </w:r>
          </w:p>
        </w:tc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</w:rPr>
              <w:t xml:space="preserve">Extend guardrail regex set + payload cross-check for new fields; keep fail-open-to-flag behavior</w:t>
            </w:r>
          </w:p>
        </w:tc>
      </w:tr>
    </w:tbl>
    <w:p>
      <w:pPr>
        <w:pStyle w:val="Heading1"/>
        <w:spacing w:after="120" w:before="240"/>
      </w:pPr>
      <w:r>
        <w:t xml:space="preserve">3. Executive-Persona Language Problem</w:t>
      </w:r>
    </w:p>
    <w:p>
      <w:pPr>
        <w:spacing w:after="120"/>
      </w:pPr>
      <w:r>
        <w:rPr>
          <w:b/>
          <w:bCs/>
        </w:rPr>
        <w:t xml:space="preserve">Current output (from format_business_briefing) is metric-dense and assumes board members know VaR, EAL, and Gordon-Loeb terminology: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"EAL INR 4.2 Cr, VaR_95 INR 7.8 Cr, ROSI 62%, Gordon-Loeb viable: Yes (cap INR 1.55 Cr)"</w:t>
      </w:r>
    </w:p>
    <w:p>
      <w:pPr>
        <w:spacing w:after="120"/>
      </w:pPr>
      <w:r>
        <w:rPr>
          <w:b/>
          <w:bCs/>
        </w:rPr>
        <w:t xml:space="preserve">Recommended natural-language reframe — same numbers, same Zero-Math rule, only wording changes: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"On average, a successful attack on this system could cost the business about INR 4.2 crore a year. In a bad-case scenario, that could rise to roughly INR 7.8 crore."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"Spending on the recommended control is expected to return about INR 0.62 for every INR 1 invested — and it stays within the INR 1.55 crore threshold we'd consider cost-justified."</w:t>
      </w:r>
    </w:p>
    <w:p>
      <w:pPr>
        <w:spacing w:after="120"/>
      </w:pPr>
      <w:r>
        <w:rPr>
          <w:b/>
          <w:bCs/>
        </w:rPr>
        <w:t xml:space="preserve">Enforced rule, not just a style preference: zero unexplained acronyms (VaR, EAL, ALE, ROSI, Z-ROSI, CIA, SegImpact, D_priority) may appear as literal tokens in the business/executive persona output — every one gets translated into a plain phrase. The build prompt in Section 8 makes this a hard requirement with a banned-token lint check, not a suggestion.</w:t>
      </w:r>
    </w:p>
    <w:p>
      <w:pPr>
        <w:spacing w:after="120"/>
      </w:pPr>
      <w:r>
        <w:t xml:space="preserve">Implementation note: this is a template-wording change only, inside format_business_briefing / template_business_briefing — no engine, schema, or guardrail-regex change needed, since the guardrail already tolerance-matches numbers regardless of surrounding prose.</w:t>
      </w:r>
    </w:p>
    <w:p>
      <w:pPr>
        <w:pStyle w:val="Heading1"/>
        <w:spacing w:after="120" w:before="240"/>
      </w:pPr>
      <w:r>
        <w:t xml:space="preserve">4. Latency Budget</w:t>
      </w:r>
    </w:p>
    <w:p>
      <w:pPr>
        <w:spacing w:after="120"/>
      </w:pPr>
      <w:r>
        <w:rPr>
          <w:b/>
          <w:bCs/>
        </w:rPr>
        <w:t xml:space="preserve">New engines and any optional local model must not slow the chatbot down. Constraints carried into the build prompt (Section 8, Phase 3):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new formula modules (business_profile, segment_risk, control_maturity, rosi_v2, cia_exposure, domain_priority) are pure arithmetic — target well under 10ms 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model used stays a warm singleton loaded once at startup — never reloaded per-request.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new FIRST.org EPSS API call gets a 2-second timeout with fallback to the existing offline approximation — a slow external API must never block the chat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new scan-data persistence layer must not add a synchronous disk round-trip to the hot request path — reads for an in-flight request hit an in-memory cache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target: a request needing only the new formula math (no EPSS call, no model call) returns in well under 200ms total.</w:t>
      </w:r>
    </w:p>
    <w:p>
      <w:pPr>
        <w:pStyle w:val="Heading1"/>
        <w:spacing w:after="120" w:before="240"/>
      </w:pPr>
      <w:r>
        <w:t xml:space="preserve">5. CPU-Only, Low-Disk Model Options</w:t>
      </w:r>
    </w:p>
    <w:p>
      <w:pPr>
        <w:spacing w:after="120"/>
      </w:pPr>
      <w:r>
        <w:t xml:space="preserve">Scope-limited on purpose: no GPU assumption, smallest viable disk footprint. These are optional upgrades for the local synthesis/formatting step only — not required for the risk-quantification build in Section 8, which is pure Python with no model changes.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500"/>
        <w:gridCol w:w="5500"/>
      </w:tblGrid>
      <w:tr>
        <w:tc>
          <w:tcPr>
            <w:tcW w:type="dxa" w:w="29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Model (Hugging Face)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Params / Disk (Q4 GGUF)</w:t>
            </w:r>
          </w:p>
        </w:tc>
        <w:tc>
          <w:tcPr>
            <w:tcW w:type="dxa" w:w="25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Why it fits a CPU-only, low-disk box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Qwen/Qwen2.5-0.5B-Instruct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0.5B, ~350 MB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Local synthesis (Zero-Math JSON-to-prose formatter)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</w:rPr>
              <w:t xml:space="preserve">Smallest instruction-tuned model that reliably follows structured-output prompts; runs comfortably on a laptop CPU with no GPU; lowest disk footprint of any viable option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Qwen/Qwen2.5-1.5B-Instruct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1.5B, ~1.0 GB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Fallback / higher-quality formatter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</w:rPr>
              <w:t xml:space="preserve">Still CPU-friendly (a few seconds per response on a modern CPU); use only if the 0.5B model's phrasing quality isn't sufficient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TinyLlama/TinyLlama-1.1B-Chat-v1.0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1.1B, ~0.6 GB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Alternative lightweight formatter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</w:rPr>
              <w:t xml:space="preserve">Apache 2.0, purpose-built for constrained/edge hardware; smaller disk footprint than the 1.5B option at similar quality</w:t>
            </w:r>
          </w:p>
        </w:tc>
      </w:tr>
      <w:tr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</w:rPr>
              <w:t xml:space="preserve">sentence-transformers/all-MiniLM-L6-v2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</w:rPr>
              <w:t xml:space="preserve">22M, ~90 MB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Embeddings for intent/persona routing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</w:rPr>
              <w:t xml:space="preserve">Already the right size class for CPU-only use; keep as-is for the routing layer, no change needed</w:t>
            </w:r>
          </w:p>
        </w:tc>
      </w:tr>
    </w:tbl>
    <w:p>
      <w:pPr>
        <w:pStyle w:val="Heading1"/>
        <w:spacing w:after="120" w:before="240"/>
      </w:pPr>
      <w:r>
        <w:t xml:space="preserve">6. Overall Assessment</w:t>
      </w:r>
    </w:p>
    <w:p>
      <w:pPr>
        <w:spacing w:after="120"/>
      </w:pPr>
      <w:r>
        <w:t xml:space="preserve">The architecture is well ahead on engineering rigor — frozen contracts, guardrails, fallback ladders, and online EPSS retraining are solid foundations. Where it currently falls short is coverage, not quality: the system quantifies Technical + partial Economic risk (FAIR/EPSS/ROSI) but has no Legal/compliance dimension, no segment/business-unit revenue weighting, and no control-maturity scoring. The gaps in Section 1 are additive: each can be built as a new core_engines/ module feeding the existing ExecutionPayload, without breaking the frozen-contract design.</w:t>
      </w:r>
    </w:p>
    <w:p>
      <w:pPr>
        <w:pStyle w:val="Heading1"/>
        <w:spacing w:after="120" w:before="240"/>
      </w:pPr>
      <w:r>
        <w:t xml:space="preserve">7. Will Uploading Real Company Vulnerability Files Actually Work?</w:t>
      </w:r>
    </w:p>
    <w:p>
      <w:pPr>
        <w:spacing w:after="120"/>
      </w:pPr>
      <w:r>
        <w:rPr>
          <w:b/>
          <w:bCs/>
        </w:rPr>
        <w:t xml:space="preserve">Short answer: partially. Ingestion and CVE lookup work, but the compute engines currently override real data with hardcoded demo placeholders before the numbers ever reach the chatbot — so uploading a real scan today produces a plausible-looking but not-actually-grounded answer.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5700"/>
      </w:tblGrid>
      <w:t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Pipeline Stage</w:t>
            </w:r>
          </w:p>
        </w:tc>
        <w:tc>
          <w:tcPr>
            <w:tcW w:type="dxa" w:w="46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What Happens With a Real Uploaded Scan File</w:t>
            </w:r>
          </w:p>
        </w:tc>
        <w:tc>
          <w:tcPr>
            <w:tcW w:type="dxa" w:w="5700"/>
            <w:shd w:fill="1F3864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File / Function to Fix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Scan ingestion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</w:rPr>
              <w:t xml:space="preserve">WORKS — Qualys/Tenable/CrowdStrike JSON/CSV is normalized into ScanFinding records in scan_ledger</w:t>
            </w:r>
          </w:p>
        </w:tc>
        <w:tc>
          <w:tcPr>
            <w:tcW w:type="dxa" w:w="5700"/>
            <w:vAlign w:val="center"/>
          </w:tcPr>
          <w:p>
            <w:r>
              <w:rPr>
                <w:b w:val="false"/>
                <w:bCs w:val="false"/>
              </w:rPr>
              <w:t xml:space="preserve">api_layer/scan_ledger.py (no fix needed)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CVE lookup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</w:rPr>
              <w:t xml:space="preserve">WORKS — scan_ledger.lookup_cve() is checked before mock_kb, so an uploaded CVE is found first</w:t>
            </w:r>
          </w:p>
        </w:tc>
        <w:tc>
          <w:tcPr>
            <w:tcW w:type="dxa" w:w="5700"/>
            <w:vAlign w:val="center"/>
          </w:tcPr>
          <w:p>
            <w:r>
              <w:rPr>
                <w:b w:val="false"/>
                <w:bCs w:val="false"/>
              </w:rPr>
              <w:t xml:space="preserve">api_layer/dual_routes.py (no fix needed)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CVSS severity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</w:rPr>
              <w:t xml:space="preserve">BROKEN — _run_core_engines injects a hardcoded cvss_base_score=9.8 and fixed vector for every request, ignoring the uploaded file's real score</w:t>
            </w:r>
          </w:p>
        </w:tc>
        <w:tc>
          <w:tcPr>
            <w:tcW w:type="dxa" w:w="5700"/>
            <w:vAlign w:val="center"/>
          </w:tcPr>
          <w:p>
            <w:r>
              <w:rPr>
                <w:b w:val="false"/>
                <w:bCs w:val="false"/>
              </w:rPr>
              <w:t xml:space="preserve">api_layer/dual_routes.py _run_core_engines()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Asset resolution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</w:rPr>
              <w:t xml:space="preserve">BROKEN — if the uploaded asset name doesn't exactly match/substring-match a hardcoded AssetTopologyGraph key, it silently falls back to the demo asset core_payment_switch</w:t>
            </w:r>
          </w:p>
        </w:tc>
        <w:tc>
          <w:tcPr>
            <w:tcW w:type="dxa" w:w="5700"/>
            <w:vAlign w:val="center"/>
          </w:tcPr>
          <w:p>
            <w:r>
              <w:rPr>
                <w:b w:val="false"/>
                <w:bCs w:val="false"/>
              </w:rPr>
              <w:t xml:space="preserve">core_engines/topology_graph.py + AssetTopologyGraph seed data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EPSS probability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</w:rPr>
              <w:t xml:space="preserve">APPROXIMATED — uses an assumed population z~N(-6.18, 2.5) instead of the real per-CVE percentile from FIRST.org, so exploit-probability isn't grounded in the uploaded CVE</w:t>
            </w:r>
          </w:p>
        </w:tc>
        <w:tc>
          <w:tcPr>
            <w:tcW w:type="dxa" w:w="5700"/>
            <w:vAlign w:val="center"/>
          </w:tcPr>
          <w:p>
            <w:r>
              <w:rPr>
                <w:b w:val="false"/>
                <w:bCs w:val="false"/>
              </w:rPr>
              <w:t xml:space="preserve">core_engines/epss_model.py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Persistence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</w:rPr>
              <w:t xml:space="preserve">BROKEN — scan_ledger and all engine singletons are in-memory only; uploaded data is lost on every server restart</w:t>
            </w:r>
          </w:p>
        </w:tc>
        <w:tc>
          <w:tcPr>
            <w:tcW w:type="dxa" w:w="5700"/>
            <w:vAlign w:val="center"/>
          </w:tcPr>
          <w:p>
            <w:r>
              <w:rPr>
                <w:b w:val="false"/>
                <w:bCs w:val="false"/>
              </w:rPr>
              <w:t xml:space="preserve">api_layer/scan_ledger.py (needs a persistence layer)</w:t>
            </w:r>
          </w:p>
        </w:tc>
      </w:tr>
    </w:tbl>
    <w:p>
      <w:pPr>
        <w:spacing w:after="120"/>
      </w:pPr>
      <w:r>
        <w:t xml:space="preserve">This is the highest-priority fix for production use, since it silently defeats the entire point of scan upload without raising any error — the guardrail only checks arithmetic consistency against ExecutionPayload, not whether ExecutionPayload itself reflects the uploaded file.</w:t>
      </w:r>
    </w:p>
    <w:p>
      <w:pPr>
        <w:pStyle w:val="Heading1"/>
        <w:spacing w:after="120" w:before="240"/>
      </w:pPr>
      <w:r>
        <w:t xml:space="preserve">8. Build Prompt — for Cline / Antigravity-style Agent</w:t>
      </w:r>
    </w:p>
    <w:p>
      <w:pPr>
        <w:spacing w:after="120"/>
      </w:pPr>
      <w:r>
        <w:rPr>
          <w:i/>
          <w:iCs/>
        </w:rPr>
        <w:t xml:space="preserve">Fully self-contained: paste this directly into the agent's task/chat panel. No external document needs to be attached or referenced — every formula, constant, and constraint the agent needs is written out below. Model changes are explicitly out of scope.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0"/>
      </w:tblGrid>
      <w:tr>
        <w:tc>
          <w:tcPr>
            <w:tcW w:type="dxa" w:w="12900"/>
            <w:shd w:fill="F2F2F2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ROLE: You are extending the CyberRiskIQ Copilot repo (FastAPI + frozen Pydantic core_engines/ + api_layer/). Read architecture.md, rules.md, phases.md, and schemas/data_models.py in this repo before writing any code. Do not reference or assume access to any external paper or document — every formula and value you need is given in full below.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SCOPE LOCK: Do not add, swap, or recommend any new LLM/model. The synthesis layer stays exactly as it is. This task is pure deterministic Python — new calculation modules in core_engines/, no model changes anywhere.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PHASE 0 -- FIX BEFORE ANYTHING ELSE (real data currently gets overridden)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Today, uploading a real vulnerability scan file does NOT actually drive the output -- these four hardcodes silently override it: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a. api_layer/dual_routes.py, function _run_core_engines():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Currently injects cvss_base_score=9.8 and a fixed CVSS vector for every request.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FIX: read the real score/vector from the matched ScanFinding (from scan_ledger) when one exists. Only use 9.8 as a fallback when no uploaded scan data matches.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b. core_engines/topology_graph.py (AssetTopologyGraph):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Currently, an asset name that doesn't exactly match/substring-match a hardcoded key silently falls back to the demo asset "core_payment_switch".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FIX: make unmatched assets return an explicit UNRESOLVED_ASSET state instead of silently substituting a fake asset. Let the caller decide: prompt the user for the asset's business context, or proceed with a generic unweighted profile -- never silently mislabel it as a different real asset.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c. api_layer/scan_ledger.py: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Currently in-memory only -- all uploaded scan data is lost on every restart.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FIX: add a persistence layer (SQLite file is fine) so uploaded findings survive a restart.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d. core_engines/epss_model.py: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Currently approximates exploit probability from an assumed population z ~ N(-6.18, 2.5) instead of the real per-CVE percentile.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FIX: call the real FIRST.org EPSS API (https://api.first.org/data/v1/epss?cve=CVE-XXXX-XXXXX) for the matched CVE; keep the current approximation only as an offline fallback if the API call fails.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ACCEPTANCE TEST FOR PHASE 0: Upload a scan file with a CVE and asset name that do NOT match any hardcoded default, and show that the EAL/VaR output actually changes based on that file -- not the demo numbers. Do not proceed to Phase 1 until this passes.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PHASE 1 -- NEW RISK-QUANTIFICATION MODULES (self-contained formulas)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HARD 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All new financial/risk numbers must be computed in core_engines/, never in the LLM synthesis layer (Zero-Math Rule -- same as the existing FAIR/EPSS engines).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Implement EXACTLY the formulas below. Do not invent variations or add terms.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If an input value isn't derivable from the existing schema, STOP and ask me -- never default or guess it silently.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Every new engine uses the same frozen Pydantic contract + hard AssertionError invariant style as core_engines/fair_model.py -- no silent clamping.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core_engines/business_profile.py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New objects: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BusinessUnit: name (str), sector (str), country (str), employee_count (int, optional)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Segment: name (str), parent_business_unit (str), revenue_pct (float, 0-100), description (str, optional)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These sit alongside AssetTopologyGraph (compose, don't replace it) -- an Asset can optionally reference a Segment.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core_engines/segment_risk.py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Impact_w = Impact_Operational * Impact_Financial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(Impact_Operational and Impact_Financial are each floats 0-10, one per threat/CVE, supplied by caller or looked up from scan data -- not invented by this module)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SegImpact = SegRevenue * Impact_w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(SegRevenue = segment.revenue_pct/100 * business_unit annual revenue, an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SegRisk = SegImpact * (Impact_w * Risk_w)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(Risk_w = float 0-10 representing likelihood/success-rate of the threat, an input)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core_engines/control_maturity.py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Six fixed multipliers (exact values, do not alter):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Not Implemented = 1.25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Initial          = 0.65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Repeatable       = 0.55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Defined          = 0.45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Managed          = 0.31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Optimized        = 0.25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Formula: ControlEfficacy_T = Efficacy_T * (1.25 - MaturityLevel)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(Efficacy_T = float 0-1, the control's nominal/promised efficacy against threat T, an input; MaturityLevel = one of the six multipliers above)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core_engines/rosi_v2.py (add alongside existing rosi_optimizer.py -- do not remove the original Gordon-Loeb ROSI, expose both)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Z_ROSI = ((ALE * ControlEfficacy) - (ControlCost * CostRate)) / (ControlCost * CostRate)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(ALE from module 5 below; ControlEfficacy from module 3; ControlCost = float, input; CostRate = float, a cost-adjustment input e.g. annualization factor -- ask me for its expected range if not already defined in the repo)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core_engines/cia_exposure.py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Exposure = 1 - avg(CIA)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(CIA = average of three floats 0-1: Confidentiality, Integrity, Availability scores derived from current controls -- replace the hardcoded z_score=-1.5 placeholder noted in architecture.md Section 11.3 with this real computed value wherever that placeholder is currently used)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ALE = Exposure * SegImpact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core_engines/domain_priority.py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D_priority = T_w * (alpha + Impact_Weight)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(T_w = float 0-10, how relevant a threat is to a given security domain, input; alpha = normalization constant, default 1.0 unless told otherwise; Impact_Weight = Impact_w from module 2, normalized 0-1)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Domain list -- PROPOSED DEFAULT (a standard NIST-CSF-aligned set -- replace with your own list if you already have one elsewhere in the repo, otherwise use this):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Identity &amp; Access Management, Endpoint Protection, Network Security, Data Protection &amp; Encryption, Email &amp; Messaging Security, Cloud Security, Application Security, Vulnerability Management, Security Monitoring &amp; Logging, Incident Response, Backup &amp; Recovery, Third-Party/Vendor Risk, Security Awareness &amp; Training, Governance/Risk/Compliance, Physical Security.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PHASE 2 -- WIRE INTO EXISTING SCHEMA + API + CHAT 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Extend schemas/data_models.py with frozen models for each new engine's output (BusinessProfileResult, SegmentRiskResult, ControlMaturityResult, ZRosiResult, CiaExposureResult, DomainPriorityResult) and fold them into ExecutionPayload.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8. Update api_layer/dual_routes.py _extract_slots() to capture new slots: business_unit, segment_name, segment_revenue_pct, control_maturity (must be one of the six enum values above), cia_weights (optional).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9. Update api_layer/synthesizer.py templates: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Business/executive persona: FULL LAYMAN LANGUAGE, not just "less jargon". 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* Never output a raw metric label + number with no sentence around it (e.g. never just "EAL: INR 4.2 Cr" standing alone).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* Every number must sit inside a plain sentence describing what it means in business terms -- money at risk, likely vs worst-case, whether a spend is worth it.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* Zero unexplained acronyms: VaR, EAL, ALE, ROSI, Z-ROSI, CIA, SegImpact, D_priority must NEVER appear as literal tokens in the executive/business persona output -- translate each into a plain phrase (e.g. "potential yearly loss" instead of "EAL", "a bad-case scenario" instead of "VaR_95").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* Target reading level: a business owner with no security background should understand the full answer without looking anything up.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* Technical persona is exempt from all of the above -- keep full jargon/precision there, no change to tone.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 Add a synthesizer-level lint/check (simple regex list of banned tokens above) that runs on the business-persona output before it's returned, and rewrites/flags if a banned token slipped through.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 Extend api_layer/guardrails.py regex/tolerance checks to cover every new numeric field (SegImpact, SegRisk, Z_ROSI, Exposure, ALE, D_priority).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11. Write pytest cases in tests/test_engines.py for each new formula as property-based invariants, e.g.: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SegRisk &lt;= SegImpact always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Exposure is always in [0, 1]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ControlEfficacy_T is always in [0, 1.25]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12. Update architecture.md, rules.md, memory.md describing exactly what changed, which files, and why -- so future sessions don't need this prompt re-explained.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PHASE 3 -- LATENCY BUDGET (must hold for every task above)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===========================================================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13. Performance constraints -- apply to every new module and every change to existing ones: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All Phase 1 formulas (business_profile, segment_risk, control_maturity, rosi_v2, cia_exposure, domain_priority) are pure arithmetic on Pydantic models. Each must run in well under 10ms; if any implementation needs a loop over more than a few hundred items or does any I/O, stop and flag it to me instead of shipping it.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No model (LLM/embedding) may be loaded per-request. Any model used stays a warm singleton loaded once at process startup, same pattern as the existing embedding/synthesis models -- reloading per-request is not acceptable latency.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The new FIRST.org EPSS API call (Phase 0, item d) is a network call: wrap it with a short timeout (2s) and a fallback to the existing offline approximation if it doesn't return in time -- a slow external API must never block or slow down the chat response.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The new persistence layer (Phase 0, item c) must not add a synchronous disk round-trip to the hot request path; write-through or async-write patterns are acceptable, but reads for an in-flight request should hit an in-memory cache first.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End-to-end target: a request that only needs Phase 1 math (no EPSS call, no model call) should return in well under 200ms total. A request that needs a fresh EPSS lookup can take longer but must respect the 2s API timeout above.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If any new code path risks breaking these budgets, stop and tell me the tradeoff instead of silently shipping something slow.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DELIVERABLE: a diff/PR description listing every file touched, every formula implemented, and any open question you had to stop and ask me about instead of guessing.</w:t>
            </w:r>
          </w:p>
        </w:tc>
      </w:tr>
    </w:tbl>
    <w:sectPr>
      <w:pgSz w:w="15840" w:h="12240" w:orient="landscape"/>
      <w:pgMar w:top="720" w:right="560" w:bottom="7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2026-09-02T10:04:47.968Z</dcterms:created>
  <dcterms:modified xsi:type="dcterms:W3CDTF">2026-09-02T10:04:47.969Z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