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3B007F"/>
          </w:tcPr>
          <w:p/>
          <w:p>
            <w:pPr>
              <w:spacing w:before="40" w:after="40"/>
              <w:jc w:val="center"/>
            </w:pPr>
            <w:r>
              <w:rPr>
                <w:rFonts w:ascii="Arial" w:hAnsi="Arial"/>
                <w:b/>
                <w:color w:val="FFFFFF"/>
                <w:sz w:val="36"/>
              </w:rPr>
              <w:t>UNITED STATES PATENT APPLICATION</w:t>
            </w:r>
          </w:p>
          <w:p>
            <w:pPr>
              <w:spacing w:before="40" w:after="40"/>
              <w:jc w:val="center"/>
            </w:pPr>
            <w:r>
              <w:rPr>
                <w:rFonts w:ascii="Arial" w:hAnsi="Arial"/>
                <w:b w:val="0"/>
                <w:color w:val="FFFFFF"/>
                <w:sz w:val="22"/>
              </w:rPr>
              <w:t>Non-Provisional Utility Patent — 35 U.S.C. § 111(a)</w:t>
            </w:r>
          </w:p>
          <w:p>
            <w:pPr>
              <w:spacing w:before="40" w:after="40"/>
              <w:jc w:val="center"/>
            </w:pPr>
            <w:r>
              <w:rPr>
                <w:rFonts w:ascii="Arial" w:hAnsi="Arial"/>
                <w:b w:val="0"/>
                <w:color w:val="FFFFFF"/>
                <w:sz w:val="12"/>
              </w:rPr>
            </w:r>
          </w:p>
          <w:p>
            <w:pPr>
              <w:spacing w:before="40" w:after="40"/>
              <w:jc w:val="center"/>
            </w:pPr>
            <w:r>
              <w:rPr>
                <w:rFonts w:ascii="Arial" w:hAnsi="Arial"/>
                <w:b w:val="0"/>
                <w:color w:val="FFFFFF"/>
                <w:sz w:val="22"/>
              </w:rPr>
              <w:t>Applicant: Averio Technologies Inc.</w:t>
            </w:r>
          </w:p>
          <w:p>
            <w:pPr>
              <w:spacing w:before="40" w:after="40"/>
              <w:jc w:val="center"/>
            </w:pPr>
            <w:r>
              <w:rPr>
                <w:rFonts w:ascii="Arial" w:hAnsi="Arial"/>
                <w:b w:val="0"/>
                <w:color w:val="FFFFFF"/>
                <w:sz w:val="22"/>
              </w:rPr>
              <w:t>Inventors: Suvojeet Pal; Rakhi Chatterjee</w:t>
            </w:r>
          </w:p>
          <w:p>
            <w:pPr>
              <w:spacing w:before="40" w:after="40"/>
              <w:jc w:val="center"/>
            </w:pPr>
            <w:r>
              <w:rPr>
                <w:rFonts w:ascii="Arial" w:hAnsi="Arial"/>
                <w:b w:val="0"/>
                <w:color w:val="FFFFFF"/>
                <w:sz w:val="22"/>
              </w:rPr>
              <w:t>Attorney Docket No.: AVERIO-001-US</w:t>
            </w:r>
          </w:p>
        </w:tc>
      </w:tr>
    </w:tbl>
    <w:p/>
    <w:p>
      <w:pPr>
        <w:spacing w:before="80" w:after="80"/>
        <w:pBdr>
          <w:bottom w:val="single" w:sz="6" w:space="1" w:color="6B7280"/>
        </w:pBdr>
      </w:pPr>
    </w:p>
    <w:p>
      <w:pPr>
        <w:spacing w:before="40" w:after="40"/>
        <w:jc w:val="both"/>
      </w:pPr>
      <w:r>
        <w:rPr>
          <w:rFonts w:ascii="Times New Roman" w:hAnsi="Times New Roman"/>
          <w:b/>
          <w:sz w:val="24"/>
        </w:rPr>
        <w:t>Application Type:</w:t>
      </w:r>
      <w:r>
        <w:rPr>
          <w:rFonts w:ascii="Times New Roman" w:hAnsi="Times New Roman"/>
          <w:sz w:val="24"/>
        </w:rPr>
        <w:t xml:space="preserve"> Non-Provisional Utility Patent Application</w:t>
      </w:r>
    </w:p>
    <w:p>
      <w:pPr>
        <w:spacing w:before="40" w:after="40"/>
        <w:jc w:val="both"/>
      </w:pPr>
      <w:r>
        <w:rPr>
          <w:rFonts w:ascii="Times New Roman" w:hAnsi="Times New Roman"/>
          <w:b/>
          <w:sz w:val="24"/>
        </w:rPr>
        <w:t>Filed Under:</w:t>
      </w:r>
      <w:r>
        <w:rPr>
          <w:rFonts w:ascii="Times New Roman" w:hAnsi="Times New Roman"/>
          <w:sz w:val="24"/>
        </w:rPr>
        <w:t xml:space="preserve"> 35 U.S.C. § 111(a)</w:t>
      </w:r>
    </w:p>
    <w:p>
      <w:pPr>
        <w:spacing w:before="40" w:after="40"/>
        <w:jc w:val="both"/>
      </w:pPr>
      <w:r>
        <w:rPr>
          <w:rFonts w:ascii="Times New Roman" w:hAnsi="Times New Roman"/>
          <w:b/>
          <w:sz w:val="24"/>
        </w:rPr>
        <w:t>Applicant:</w:t>
      </w:r>
      <w:r>
        <w:rPr>
          <w:rFonts w:ascii="Times New Roman" w:hAnsi="Times New Roman"/>
          <w:sz w:val="24"/>
        </w:rPr>
        <w:t xml:space="preserve"> Averio Technologies Inc.</w:t>
      </w:r>
    </w:p>
    <w:p>
      <w:pPr>
        <w:spacing w:before="40" w:after="40"/>
        <w:jc w:val="both"/>
      </w:pPr>
      <w:r>
        <w:rPr>
          <w:rFonts w:ascii="Times New Roman" w:hAnsi="Times New Roman"/>
          <w:b/>
          <w:sz w:val="24"/>
        </w:rPr>
        <w:t>Inventors:</w:t>
      </w:r>
      <w:r>
        <w:rPr>
          <w:rFonts w:ascii="Times New Roman" w:hAnsi="Times New Roman"/>
          <w:sz w:val="24"/>
        </w:rPr>
        <w:t xml:space="preserve"> Suvojeet Pal; Rakhi Chatterjee</w:t>
      </w:r>
    </w:p>
    <w:p>
      <w:pPr>
        <w:spacing w:before="40" w:after="40"/>
        <w:jc w:val="both"/>
      </w:pPr>
      <w:r>
        <w:rPr>
          <w:rFonts w:ascii="Times New Roman" w:hAnsi="Times New Roman"/>
          <w:b/>
          <w:sz w:val="24"/>
        </w:rPr>
        <w:t>Correspondence Address:</w:t>
      </w:r>
      <w:r>
        <w:rPr>
          <w:rFonts w:ascii="Times New Roman" w:hAnsi="Times New Roman"/>
          <w:sz w:val="24"/>
        </w:rPr>
        <w:t xml:space="preserve"> [Attorney/Agent Address]</w:t>
      </w:r>
    </w:p>
    <w:p>
      <w:pPr>
        <w:spacing w:before="40" w:after="40"/>
        <w:jc w:val="both"/>
      </w:pPr>
      <w:r>
        <w:rPr>
          <w:rFonts w:ascii="Times New Roman" w:hAnsi="Times New Roman"/>
          <w:b/>
          <w:sz w:val="24"/>
        </w:rPr>
        <w:t>Attorney Docket No.:</w:t>
      </w:r>
      <w:r>
        <w:rPr>
          <w:rFonts w:ascii="Times New Roman" w:hAnsi="Times New Roman"/>
          <w:sz w:val="24"/>
        </w:rPr>
        <w:t xml:space="preserve"> AVERIO-001-US</w:t>
      </w:r>
    </w:p>
    <w:p>
      <w:pPr>
        <w:spacing w:before="80" w:after="80"/>
        <w:pBdr>
          <w:bottom w:val="single" w:sz="6" w:space="1" w:color="6B7280"/>
        </w:pBdr>
      </w:pPr>
    </w:p>
    <w:p>
      <w:pPr>
        <w:pStyle w:val="Heading2"/>
      </w:pPr>
      <w:r>
        <w:t>TITLE OF THE INVENTION</w:t>
      </w:r>
    </w:p>
    <w:p>
      <w:pPr>
        <w:spacing w:before="40" w:after="80"/>
        <w:jc w:val="both"/>
      </w:pPr>
      <w:r>
        <w:rPr>
          <w:rFonts w:ascii="Times New Roman" w:hAnsi="Times New Roman"/>
          <w:sz w:val="24"/>
        </w:rPr>
        <w:t>**ADAPTIVE MULTI-STRATEGY ENTITY RESOLUTION SYSTEM WITH</w:t>
      </w:r>
    </w:p>
    <w:p>
      <w:pPr>
        <w:spacing w:before="40" w:after="80"/>
        <w:jc w:val="both"/>
      </w:pPr>
      <w:r>
        <w:rPr>
          <w:rFonts w:ascii="Times New Roman" w:hAnsi="Times New Roman"/>
          <w:b w:val="0"/>
          <w:i w:val="0"/>
          <w:sz w:val="24"/>
        </w:rPr>
        <w:t>PROBABILISTIC CLUSTER DRIFT DETECTION, PROVISIONAL GOLDEN</w:t>
      </w:r>
    </w:p>
    <w:p>
      <w:pPr>
        <w:spacing w:before="40" w:after="80"/>
        <w:jc w:val="both"/>
      </w:pPr>
      <w:r>
        <w:rPr>
          <w:rFonts w:ascii="Times New Roman" w:hAnsi="Times New Roman"/>
          <w:b w:val="0"/>
          <w:i w:val="0"/>
          <w:sz w:val="24"/>
        </w:rPr>
        <w:t>IDENTITY MANAGEMENT, AND SELF-CALIBRATING FELLEGI-SUNTER</w:t>
      </w:r>
    </w:p>
    <w:p>
      <w:pPr>
        <w:spacing w:before="40" w:after="80"/>
        <w:jc w:val="both"/>
      </w:pPr>
      <w:r>
        <w:rPr>
          <w:rFonts w:ascii="Times New Roman" w:hAnsi="Times New Roman"/>
          <w:sz w:val="24"/>
        </w:rPr>
        <w:t>PARAMETER ESTIMATION FOR ENTERPRISE MASTER DATA MANAGEMENT**</w:t>
      </w:r>
    </w:p>
    <w:p>
      <w:pPr>
        <w:spacing w:before="80" w:after="80"/>
        <w:pBdr>
          <w:bottom w:val="single" w:sz="6" w:space="1" w:color="6B7280"/>
        </w:pBdr>
      </w:pPr>
    </w:p>
    <w:p>
      <w:pPr>
        <w:pStyle w:val="Heading2"/>
      </w:pPr>
      <w:r>
        <w:t>CROSS-REFERENCE TO RELATED APPLICATIONS</w:t>
      </w:r>
    </w:p>
    <w:p>
      <w:pPr>
        <w:spacing w:before="40" w:after="80"/>
        <w:jc w:val="both"/>
      </w:pPr>
      <w:r>
        <w:rPr>
          <w:rFonts w:ascii="Times New Roman" w:hAnsi="Times New Roman"/>
          <w:b w:val="0"/>
          <w:i w:val="0"/>
          <w:sz w:val="24"/>
        </w:rPr>
        <w:t>This application claims priority to U.S. Provisional Application No. [TBD], filed [DATE], the entire contents of which are incorporated herein by reference.</w:t>
      </w:r>
    </w:p>
    <w:p>
      <w:pPr>
        <w:spacing w:before="80" w:after="80"/>
        <w:pBdr>
          <w:bottom w:val="single" w:sz="6" w:space="1" w:color="6B7280"/>
        </w:pBdr>
      </w:pPr>
    </w:p>
    <w:p>
      <w:pPr>
        <w:pStyle w:val="Heading2"/>
      </w:pPr>
      <w:r>
        <w:t>FIELD OF THE INVENTION</w:t>
      </w:r>
    </w:p>
    <w:p>
      <w:pPr>
        <w:spacing w:before="40" w:after="80"/>
        <w:jc w:val="both"/>
      </w:pPr>
      <w:r>
        <w:rPr>
          <w:rFonts w:ascii="Times New Roman" w:hAnsi="Times New Roman"/>
          <w:b w:val="0"/>
          <w:i w:val="0"/>
          <w:sz w:val="24"/>
        </w:rPr>
        <w:t>The present invention relates to enterprise software systems for Master Data Management (MDM), and more particularly to systems and methods for large-scale probabilistic entity resolution, adaptive cluster maintenance, provisional identity assignment, and self-calibrating statistical parameter learning in MDM platforms serving Fortune 500 financial institutions and regulated industries.</w:t>
      </w:r>
    </w:p>
    <w:p>
      <w:pPr>
        <w:spacing w:before="80" w:after="80"/>
        <w:pBdr>
          <w:bottom w:val="single" w:sz="6" w:space="1" w:color="6B7280"/>
        </w:pBdr>
      </w:pPr>
    </w:p>
    <w:p>
      <w:pPr>
        <w:pStyle w:val="Heading2"/>
      </w:pPr>
      <w:r>
        <w:t>BACKGROUND OF THE INVENTION</w:t>
      </w:r>
    </w:p>
    <w:p>
      <w:pPr>
        <w:pStyle w:val="Heading3"/>
      </w:pPr>
      <w:r>
        <w:t>The Entity Resolution Problem at Scale</w:t>
      </w:r>
    </w:p>
    <w:p>
      <w:pPr>
        <w:spacing w:before="40" w:after="80"/>
        <w:jc w:val="both"/>
      </w:pPr>
      <w:r>
        <w:rPr>
          <w:rFonts w:ascii="Times New Roman" w:hAnsi="Times New Roman"/>
          <w:b w:val="0"/>
          <w:i w:val="0"/>
          <w:sz w:val="24"/>
        </w:rPr>
        <w:t>Enterprise Master Data Management systems must resolve whether two or more records from different source systems — Customer Relationship Management (CRM), Enterprise Resource Planning (ERP), Core Banking, insurance platforms, and regulatory reporting systems — refer to the same real-world entity. This problem, known as entity resolution, deduplication, or record linkage, presents fundamental computational and accuracy challenges at enterprise scale.</w:t>
      </w:r>
    </w:p>
    <w:p>
      <w:pPr>
        <w:spacing w:before="40" w:after="80"/>
        <w:jc w:val="both"/>
      </w:pPr>
      <w:r>
        <w:rPr>
          <w:rFonts w:ascii="Times New Roman" w:hAnsi="Times New Roman"/>
          <w:b w:val="0"/>
          <w:i w:val="0"/>
          <w:sz w:val="24"/>
        </w:rPr>
        <w:t>A naive pairwise comparison of N records requires O(N²) comparisons. For an enterprise with one billion customer records, this yields 10¹⁸ comparisons — physically impossible to execute in real time or even batch. Prior art systems address this through "blocking," which pre-filters candidate pairs using shared attributes (e.g., same last name, same postal code), but existing blocking implementations apply at most two or three strategies in isolation, resulting in high miss rates for records with data quality variation.</w:t>
      </w:r>
    </w:p>
    <w:p>
      <w:pPr>
        <w:pStyle w:val="Heading3"/>
      </w:pPr>
      <w:r>
        <w:t>The Static Match Model Problem</w:t>
      </w:r>
    </w:p>
    <w:p>
      <w:pPr>
        <w:spacing w:before="40" w:after="80"/>
        <w:jc w:val="both"/>
      </w:pPr>
      <w:r>
        <w:rPr>
          <w:rFonts w:ascii="Times New Roman" w:hAnsi="Times New Roman"/>
          <w:b w:val="0"/>
          <w:i w:val="0"/>
          <w:sz w:val="24"/>
        </w:rPr>
        <w:t>Existing MDM platforms — including IBM InfoSphere MDM, Informatica MDM, SAP Master Data Governance, TIBCO EBX, and Reltio Cloud — rely on fixed, manually configured match rules or pre-trained statistical models whose parameters do not evolve with incoming data. A parameter such as "the probability that two matching individuals share the same first name spelling" (the m-probability in Fellegi-Sunter terminology) is hardcoded by a consultant at deployment time and never updated. As data quality improves, as new source systems are onboarded, or as demographic patterns shift, the static parameters degrade in accuracy.</w:t>
      </w:r>
    </w:p>
    <w:p>
      <w:pPr>
        <w:pStyle w:val="Heading3"/>
      </w:pPr>
      <w:r>
        <w:t>The Null Golden Identity Problem</w:t>
      </w:r>
    </w:p>
    <w:p>
      <w:pPr>
        <w:spacing w:before="40" w:after="80"/>
        <w:jc w:val="both"/>
      </w:pPr>
      <w:r>
        <w:rPr>
          <w:rFonts w:ascii="Times New Roman" w:hAnsi="Times New Roman"/>
          <w:b w:val="0"/>
          <w:i w:val="0"/>
          <w:sz w:val="24"/>
        </w:rPr>
        <w:t>All known MDM systems allow entities to exist in a "null golden state" — a condition where a source record has been ingested but no golden identifier has been assigned because the record is pending steward review. During the review period (which can last days or weeks in large enterprises), the record is invisible to downstream applications that query by golden identifier. This creates a temporal data gap that violates the MDM promise of a single, always-available authoritative identity.</w:t>
      </w:r>
    </w:p>
    <w:p>
      <w:pPr>
        <w:pStyle w:val="Heading3"/>
      </w:pPr>
      <w:r>
        <w:t>The Cluster Drift Problem</w:t>
      </w:r>
    </w:p>
    <w:p>
      <w:pPr>
        <w:spacing w:before="40" w:after="80"/>
        <w:jc w:val="both"/>
      </w:pPr>
      <w:r>
        <w:rPr>
          <w:rFonts w:ascii="Times New Roman" w:hAnsi="Times New Roman"/>
          <w:b w:val="0"/>
          <w:i w:val="0"/>
          <w:sz w:val="24"/>
        </w:rPr>
        <w:t>No known commercial MDM system addresses the situation in which an entity's attributes change after golden cluster assignment such that the entity no longer statistically belongs to its assigned cluster. For example, a party record initially merged with "ACME Corporation" because it shared a phone number may later have that phone number corrected to a different value, causing it to be more similar to "Acme Industries" than to "ACME Corporation." All existing MDM systems ignore this post-assignment drift, leaving incorrect cluster assignments permanently in place unless manually discovered and corrected by a data steward.</w:t>
      </w:r>
    </w:p>
    <w:p>
      <w:pPr>
        <w:pStyle w:val="Heading3"/>
      </w:pPr>
      <w:r>
        <w:t>The Single-Mode Matching Problem</w:t>
      </w:r>
    </w:p>
    <w:p>
      <w:pPr>
        <w:spacing w:before="40" w:after="80"/>
        <w:jc w:val="both"/>
      </w:pPr>
      <w:r>
        <w:rPr>
          <w:rFonts w:ascii="Times New Roman" w:hAnsi="Times New Roman"/>
          <w:b w:val="0"/>
          <w:i w:val="0"/>
          <w:sz w:val="24"/>
        </w:rPr>
        <w:t>Existing systems operate in a single matching mode: either deterministic (rule-based) or probabilistic (statistical), but not both in a principled, cascading architecture. The emerging practice of using Large Language Models (LLMs) for entity resolution does not exist in any commercial MDM platform as a fallback for edge-case disambiguation.</w:t>
      </w:r>
    </w:p>
    <w:p>
      <w:pPr>
        <w:pStyle w:val="Heading3"/>
      </w:pPr>
      <w:r>
        <w:t>Need in the Art</w:t>
      </w:r>
    </w:p>
    <w:p>
      <w:pPr>
        <w:spacing w:before="40" w:after="80"/>
        <w:jc w:val="both"/>
      </w:pPr>
      <w:r>
        <w:rPr>
          <w:rFonts w:ascii="Times New Roman" w:hAnsi="Times New Roman"/>
          <w:b w:val="0"/>
          <w:i w:val="0"/>
          <w:sz w:val="24"/>
        </w:rPr>
        <w:t>There remains a significant need for an MDM system that: (1) applies nine independent blocking strategies in union to minimize candidate miss rate; (2) continuously learns match probability parameters from data using the Expectation-Maximization algorithm without labeled training sets; (3) guarantees provisional golden identity assignment for every ingested record regardless of review status; (4) detects and corrects cluster membership drift triggered by attribute updates; and (5) applies a cascading three-stage match pipeline combining deterministic, probabilistic, and AI-enhanced matching.</w:t>
      </w:r>
    </w:p>
    <w:p>
      <w:pPr>
        <w:spacing w:before="80" w:after="80"/>
        <w:pBdr>
          <w:bottom w:val="single" w:sz="6" w:space="1" w:color="6B7280"/>
        </w:pBdr>
      </w:pPr>
    </w:p>
    <w:p>
      <w:pPr>
        <w:pStyle w:val="Heading2"/>
      </w:pPr>
      <w:r>
        <w:t>SUMMARY OF THE INVENTION</w:t>
      </w:r>
    </w:p>
    <w:p>
      <w:pPr>
        <w:spacing w:before="40" w:after="80"/>
        <w:jc w:val="both"/>
      </w:pPr>
      <w:r>
        <w:rPr>
          <w:rFonts w:ascii="Times New Roman" w:hAnsi="Times New Roman"/>
          <w:b w:val="0"/>
          <w:i w:val="0"/>
          <w:sz w:val="24"/>
        </w:rPr>
        <w:t>The present invention provides a system and method for enterprise Master Data Management comprising a novel combination of technical innovations that collectively address the limitations of the prior art described above.</w:t>
      </w:r>
    </w:p>
    <w:p>
      <w:pPr>
        <w:spacing w:before="40" w:after="80"/>
        <w:jc w:val="both"/>
      </w:pPr>
      <w:r>
        <w:rPr>
          <w:rFonts w:ascii="Times New Roman" w:hAnsi="Times New Roman"/>
          <w:sz w:val="24"/>
        </w:rPr>
        <w:t xml:space="preserve">In a first aspect, the invention provides a </w:t>
      </w:r>
      <w:r>
        <w:rPr>
          <w:rFonts w:ascii="Times New Roman" w:hAnsi="Times New Roman"/>
          <w:b/>
          <w:sz w:val="24"/>
        </w:rPr>
        <w:t>Nine-Strategy Union Blocking Engine</w:t>
      </w:r>
      <w:r>
        <w:rPr>
          <w:rFonts w:ascii="Times New Roman" w:hAnsi="Times New Roman"/>
          <w:sz w:val="24"/>
        </w:rPr>
        <w:t xml:space="preserve"> that generates blocking keys using nine independent strategies applied in union to a party record, storing the resulting inverted index in dual concurrent hash maps, thereby reducing candidate comparison space from O(N²) to O(N×k) where k is typically 10–100 candidates per query.</w:t>
      </w:r>
    </w:p>
    <w:p>
      <w:pPr>
        <w:spacing w:before="40" w:after="80"/>
        <w:jc w:val="both"/>
      </w:pPr>
      <w:r>
        <w:rPr>
          <w:rFonts w:ascii="Times New Roman" w:hAnsi="Times New Roman"/>
          <w:sz w:val="24"/>
        </w:rPr>
        <w:t xml:space="preserve">In a second aspect, the invention provides a </w:t>
      </w:r>
      <w:r>
        <w:rPr>
          <w:rFonts w:ascii="Times New Roman" w:hAnsi="Times New Roman"/>
          <w:b/>
          <w:sz w:val="24"/>
        </w:rPr>
        <w:t>Self-Calibrating Fellegi-Sunter Parameter Estimation System</w:t>
      </w:r>
      <w:r>
        <w:rPr>
          <w:rFonts w:ascii="Times New Roman" w:hAnsi="Times New Roman"/>
          <w:sz w:val="24"/>
        </w:rPr>
        <w:t xml:space="preserve"> using an Expectation-Maximization (EM) algorithm that runs autonomously on a schedule to learn m-probability (P(agreement | true match)) and u-probability (P(agreement | true non-match)) for ten entity attributes without requiring human-labeled training pairs.</w:t>
      </w:r>
    </w:p>
    <w:p>
      <w:pPr>
        <w:spacing w:before="40" w:after="80"/>
        <w:jc w:val="both"/>
      </w:pPr>
      <w:r>
        <w:rPr>
          <w:rFonts w:ascii="Times New Roman" w:hAnsi="Times New Roman"/>
          <w:sz w:val="24"/>
        </w:rPr>
        <w:t xml:space="preserve">In a third aspect, the invention provides a </w:t>
      </w:r>
      <w:r>
        <w:rPr>
          <w:rFonts w:ascii="Times New Roman" w:hAnsi="Times New Roman"/>
          <w:b/>
          <w:sz w:val="24"/>
        </w:rPr>
        <w:t>Three-Stage Cascading Match Pipeline</w:t>
      </w:r>
      <w:r>
        <w:rPr>
          <w:rFonts w:ascii="Times New Roman" w:hAnsi="Times New Roman"/>
          <w:sz w:val="24"/>
        </w:rPr>
        <w:t xml:space="preserve"> comprising a deterministic stage, a probabilistic Fellegi-Sunter stage, and an optional AI-enhanced stage using a Large Language Model, with threshold-driven action routing that determines whether a candidate pair should be auto-linked, sent to steward review, or treated as a new entity.</w:t>
      </w:r>
    </w:p>
    <w:p>
      <w:pPr>
        <w:spacing w:before="40" w:after="80"/>
        <w:jc w:val="both"/>
      </w:pPr>
      <w:r>
        <w:rPr>
          <w:rFonts w:ascii="Times New Roman" w:hAnsi="Times New Roman"/>
          <w:sz w:val="24"/>
        </w:rPr>
        <w:t xml:space="preserve">In a fourth aspect, the invention provides a </w:t>
      </w:r>
      <w:r>
        <w:rPr>
          <w:rFonts w:ascii="Times New Roman" w:hAnsi="Times New Roman"/>
          <w:b/>
          <w:sz w:val="24"/>
        </w:rPr>
        <w:t>Provisional Golden Identity Management System</w:t>
      </w:r>
      <w:r>
        <w:rPr>
          <w:rFonts w:ascii="Times New Roman" w:hAnsi="Times New Roman"/>
          <w:sz w:val="24"/>
        </w:rPr>
        <w:t xml:space="preserve"> that guarantees every ingested record is assigned a globally unique golden identifier before any persistence operation commits to the database, eliminating the null golden state entirely and ensuring downstream application availability throughout the steward review lifecycle.</w:t>
      </w:r>
    </w:p>
    <w:p>
      <w:pPr>
        <w:spacing w:before="40" w:after="80"/>
        <w:jc w:val="both"/>
      </w:pPr>
      <w:r>
        <w:rPr>
          <w:rFonts w:ascii="Times New Roman" w:hAnsi="Times New Roman"/>
          <w:sz w:val="24"/>
        </w:rPr>
        <w:t xml:space="preserve">In a fifth aspect, the invention provides a </w:t>
      </w:r>
      <w:r>
        <w:rPr>
          <w:rFonts w:ascii="Times New Roman" w:hAnsi="Times New Roman"/>
          <w:b/>
          <w:sz w:val="24"/>
        </w:rPr>
        <w:t>Post-Update Probabilistic Cluster Drift Detector</w:t>
      </w:r>
      <w:r>
        <w:rPr>
          <w:rFonts w:ascii="Times New Roman" w:hAnsi="Times New Roman"/>
          <w:sz w:val="24"/>
        </w:rPr>
        <w:t xml:space="preserve"> that re-evaluates a party's statistical fit within its assigned golden cluster whenever the party's attributes are updated, and automatically initiates reassignment, steward escalation, or new cluster creation based on updated match scores.</w:t>
      </w:r>
    </w:p>
    <w:p>
      <w:pPr>
        <w:spacing w:before="40" w:after="80"/>
        <w:jc w:val="both"/>
      </w:pPr>
      <w:r>
        <w:rPr>
          <w:rFonts w:ascii="Times New Roman" w:hAnsi="Times New Roman"/>
          <w:sz w:val="24"/>
        </w:rPr>
        <w:t xml:space="preserve">In a sixth aspect, the invention provides a </w:t>
      </w:r>
      <w:r>
        <w:rPr>
          <w:rFonts w:ascii="Times New Roman" w:hAnsi="Times New Roman"/>
          <w:b/>
          <w:sz w:val="24"/>
        </w:rPr>
        <w:t>Human-in-the-Loop ML Retraining Pipeline</w:t>
      </w:r>
      <w:r>
        <w:rPr>
          <w:rFonts w:ascii="Times New Roman" w:hAnsi="Times New Roman"/>
          <w:sz w:val="24"/>
        </w:rPr>
        <w:t xml:space="preserve"> that captures feature vectors at steward decision time, stores them as immutable feedback records, and automatically retrains a logistic regression match model when sufficient labeled examples accumulate.</w:t>
      </w:r>
    </w:p>
    <w:p>
      <w:pPr>
        <w:spacing w:before="40" w:after="80"/>
        <w:jc w:val="both"/>
      </w:pPr>
      <w:r>
        <w:rPr>
          <w:rFonts w:ascii="Times New Roman" w:hAnsi="Times New Roman"/>
          <w:sz w:val="24"/>
        </w:rPr>
        <w:t xml:space="preserve">In a seventh aspect, the invention provides a </w:t>
      </w:r>
      <w:r>
        <w:rPr>
          <w:rFonts w:ascii="Times New Roman" w:hAnsi="Times New Roman"/>
          <w:b/>
          <w:sz w:val="24"/>
        </w:rPr>
        <w:t>Query-Time Survivorship Rule Engine</w:t>
      </w:r>
      <w:r>
        <w:rPr>
          <w:rFonts w:ascii="Times New Roman" w:hAnsi="Times New Roman"/>
          <w:sz w:val="24"/>
        </w:rPr>
        <w:t xml:space="preserve"> that applies pluggable per-attribute survivorship strategies (including Source Priority, Most Recent, Most Frequent, Supremacy, Non-Null, and Longest) at golden record retrieval time rather than pre-computing a static golden record, enabling dynamic rule configuration without cache invalidation at the data layer.</w:t>
      </w:r>
    </w:p>
    <w:p>
      <w:pPr>
        <w:spacing w:before="80" w:after="80"/>
        <w:pBdr>
          <w:bottom w:val="single" w:sz="6" w:space="1" w:color="6B7280"/>
        </w:pBdr>
      </w:pPr>
    </w:p>
    <w:p>
      <w:pPr>
        <w:pStyle w:val="Heading2"/>
      </w:pPr>
      <w:r>
        <w:t>BRIEF DESCRIPTION OF THE DRAWINGS</w:t>
      </w:r>
    </w:p>
    <w:p>
      <w:pPr>
        <w:spacing w:before="80" w:after="40"/>
        <w:jc w:val="both"/>
      </w:pPr>
      <w:r>
        <w:rPr>
          <w:rFonts w:ascii="Times New Roman" w:hAnsi="Times New Roman"/>
          <w:b w:val="0"/>
          <w:i w:val="0"/>
          <w:sz w:val="24"/>
        </w:rPr>
        <w:t>FIG. 1 is a system architecture diagram illustrating the overall Averio MDM platform components including the blocking engine, matching pipeline, survivorship engine, and data stores.</w:t>
      </w:r>
    </w:p>
    <w:p>
      <w:pPr>
        <w:spacing w:before="80" w:after="40"/>
        <w:jc w:val="both"/>
      </w:pPr>
      <w:r>
        <w:rPr>
          <w:rFonts w:ascii="Times New Roman" w:hAnsi="Times New Roman"/>
          <w:b w:val="0"/>
          <w:i w:val="0"/>
          <w:sz w:val="24"/>
        </w:rPr>
        <w:t>FIG. 2 is a flowchart of the nine-strategy blocking key generation process for a single Party record.</w:t>
      </w:r>
    </w:p>
    <w:p>
      <w:pPr>
        <w:spacing w:before="80" w:after="40"/>
        <w:jc w:val="both"/>
      </w:pPr>
      <w:r>
        <w:rPr>
          <w:rFonts w:ascii="Times New Roman" w:hAnsi="Times New Roman"/>
          <w:b w:val="0"/>
          <w:i w:val="0"/>
          <w:sz w:val="24"/>
        </w:rPr>
        <w:t>FIG. 3 is a flowchart of the three-stage cascading match pipeline with threshold-driven action routing.</w:t>
      </w:r>
    </w:p>
    <w:p>
      <w:pPr>
        <w:spacing w:before="80" w:after="40"/>
        <w:jc w:val="both"/>
      </w:pPr>
      <w:r>
        <w:rPr>
          <w:rFonts w:ascii="Times New Roman" w:hAnsi="Times New Roman"/>
          <w:b w:val="0"/>
          <w:i w:val="0"/>
          <w:sz w:val="24"/>
        </w:rPr>
        <w:t>FIG. 4 is a diagram of the Expectation-Maximization parameter estimation algorithm showing the E-step and M-step iterations for ten attributes.</w:t>
      </w:r>
    </w:p>
    <w:p>
      <w:pPr>
        <w:spacing w:before="80" w:after="40"/>
        <w:jc w:val="both"/>
      </w:pPr>
      <w:r>
        <w:rPr>
          <w:rFonts w:ascii="Times New Roman" w:hAnsi="Times New Roman"/>
          <w:b w:val="0"/>
          <w:i w:val="0"/>
          <w:sz w:val="24"/>
        </w:rPr>
        <w:t>FIG. 5 is a flowchart of the post-update cluster drift detection and remediation process.</w:t>
      </w:r>
    </w:p>
    <w:p>
      <w:pPr>
        <w:spacing w:before="80" w:after="40"/>
        <w:jc w:val="both"/>
      </w:pPr>
      <w:r>
        <w:rPr>
          <w:rFonts w:ascii="Times New Roman" w:hAnsi="Times New Roman"/>
          <w:b w:val="0"/>
          <w:i w:val="0"/>
          <w:sz w:val="24"/>
        </w:rPr>
        <w:t>FIG. 6 is a data model diagram showing the relationship between Party nodes, GoldenRecord documents, and TimelineEvent documents across Neo4j and Azure Cosmos DB.</w:t>
      </w:r>
    </w:p>
    <w:p>
      <w:pPr>
        <w:spacing w:before="80" w:after="40"/>
        <w:jc w:val="both"/>
      </w:pPr>
      <w:r>
        <w:rPr>
          <w:rFonts w:ascii="Times New Roman" w:hAnsi="Times New Roman"/>
          <w:b w:val="0"/>
          <w:i w:val="0"/>
          <w:sz w:val="24"/>
        </w:rPr>
        <w:t>FIG. 7 is a flowchart of the provisional golden identity assignment lifecycle from ingest through steward resolution.</w:t>
      </w:r>
    </w:p>
    <w:p>
      <w:pPr>
        <w:spacing w:before="80" w:after="40"/>
        <w:jc w:val="both"/>
      </w:pPr>
      <w:r>
        <w:rPr>
          <w:rFonts w:ascii="Times New Roman" w:hAnsi="Times New Roman"/>
          <w:b w:val="0"/>
          <w:i w:val="0"/>
          <w:sz w:val="24"/>
        </w:rPr>
        <w:t>FIG. 8 is a diagram of the human-in-the-loop ML retraining feedback cycle.</w:t>
      </w:r>
    </w:p>
    <w:p>
      <w:pPr>
        <w:spacing w:before="80" w:after="80"/>
        <w:pBdr>
          <w:bottom w:val="single" w:sz="6" w:space="1" w:color="6B7280"/>
        </w:pBdr>
      </w:pPr>
    </w:p>
    <w:p>
      <w:r>
        <w:br w:type="page"/>
      </w:r>
    </w:p>
    <w:p>
      <w:pPr>
        <w:pStyle w:val="Heading1"/>
        <w:spacing w:after="80"/>
      </w:pPr>
      <w:r>
        <w:t>DRAWINGS</w:t>
      </w:r>
    </w:p>
    <w:p>
      <w:pPr>
        <w:spacing w:after="240"/>
        <w:jc w:val="center"/>
      </w:pPr>
      <w:r>
        <w:rPr>
          <w:rFonts w:ascii="Arial" w:hAnsi="Arial"/>
          <w:i/>
          <w:color w:val="6000BF"/>
          <w:sz w:val="20"/>
        </w:rPr>
        <w:t>(Referenced in Brief Description of the Drawings)</w:t>
      </w:r>
    </w:p>
    <w:p>
      <w:pPr>
        <w:spacing w:before="120" w:after="40"/>
        <w:jc w:val="center"/>
      </w:pPr>
      <w:r>
        <w:rPr>
          <w:rFonts w:ascii="Times New Roman" w:hAnsi="Times New Roman"/>
          <w:b/>
          <w:i w:val="0"/>
          <w:sz w:val="24"/>
        </w:rPr>
        <w:t>FIG. 1</w:t>
      </w:r>
    </w:p>
    <w:p>
      <w:pPr>
        <w:spacing w:before="160" w:after="120"/>
        <w:jc w:val="center"/>
      </w:pPr>
      <w:r>
        <w:drawing>
          <wp:inline xmlns:a="http://schemas.openxmlformats.org/drawingml/2006/main" xmlns:pic="http://schemas.openxmlformats.org/drawingml/2006/picture">
            <wp:extent cx="5029200" cy="371538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3715388"/>
                    </a:xfrm>
                    <a:prstGeom prst="rect"/>
                  </pic:spPr>
                </pic:pic>
              </a:graphicData>
            </a:graphic>
          </wp:inline>
        </w:drawing>
      </w:r>
    </w:p>
    <w:p>
      <w:pPr>
        <w:spacing w:before="40" w:after="320"/>
        <w:jc w:val="center"/>
      </w:pPr>
      <w:r>
        <w:rPr>
          <w:rFonts w:ascii="Arial" w:hAnsi="Arial"/>
          <w:i/>
          <w:color w:val="3B007F"/>
          <w:sz w:val="18"/>
        </w:rPr>
        <w:t>FIG. 1 — System Architecture: Overall Averio MDM platform showing the blocking engine, three-stage match pipeline, survivorship engine, and dual data stores (Neo4j + Azure Cosmos DB).</w:t>
      </w:r>
    </w:p>
    <w:p>
      <w:pPr>
        <w:spacing w:before="80" w:after="80"/>
        <w:pBdr>
          <w:bottom w:val="single" w:sz="6" w:space="1" w:color="6B7280"/>
        </w:pBdr>
      </w:pPr>
    </w:p>
    <w:p/>
    <w:p>
      <w:pPr>
        <w:spacing w:before="120" w:after="40"/>
        <w:jc w:val="center"/>
      </w:pPr>
      <w:r>
        <w:rPr>
          <w:rFonts w:ascii="Times New Roman" w:hAnsi="Times New Roman"/>
          <w:b/>
          <w:i w:val="0"/>
          <w:sz w:val="24"/>
        </w:rPr>
        <w:t>FIG. 2</w:t>
      </w:r>
    </w:p>
    <w:p>
      <w:pPr>
        <w:spacing w:before="160" w:after="120"/>
        <w:jc w:val="center"/>
      </w:pPr>
      <w:r>
        <w:drawing>
          <wp:inline xmlns:a="http://schemas.openxmlformats.org/drawingml/2006/main" xmlns:pic="http://schemas.openxmlformats.org/drawingml/2006/picture">
            <wp:extent cx="5029200" cy="3611168"/>
            <wp:docPr id="2" name="Picture 2"/>
            <wp:cNvGraphicFramePr>
              <a:graphicFrameLocks noChangeAspect="1"/>
            </wp:cNvGraphicFramePr>
            <a:graphic>
              <a:graphicData uri="http://schemas.openxmlformats.org/drawingml/2006/picture">
                <pic:pic>
                  <pic:nvPicPr>
                    <pic:cNvPr id="0" name="FIG2_blocking.png"/>
                    <pic:cNvPicPr/>
                  </pic:nvPicPr>
                  <pic:blipFill>
                    <a:blip r:embed="rId10"/>
                    <a:stretch>
                      <a:fillRect/>
                    </a:stretch>
                  </pic:blipFill>
                  <pic:spPr>
                    <a:xfrm>
                      <a:off x="0" y="0"/>
                      <a:ext cx="5029200" cy="3611168"/>
                    </a:xfrm>
                    <a:prstGeom prst="rect"/>
                  </pic:spPr>
                </pic:pic>
              </a:graphicData>
            </a:graphic>
          </wp:inline>
        </w:drawing>
      </w:r>
    </w:p>
    <w:p>
      <w:pPr>
        <w:spacing w:before="40" w:after="320"/>
        <w:jc w:val="center"/>
      </w:pPr>
      <w:r>
        <w:rPr>
          <w:rFonts w:ascii="Arial" w:hAnsi="Arial"/>
          <w:i/>
          <w:color w:val="3B007F"/>
          <w:sz w:val="18"/>
        </w:rPr>
        <w:t>FIG. 2 — Nine-Strategy Union Blocking: Flowchart of the nine independent blocking key generation strategies applied in union for O(N×k) candidate retrieval.</w:t>
      </w:r>
    </w:p>
    <w:p>
      <w:pPr>
        <w:spacing w:before="80" w:after="80"/>
        <w:pBdr>
          <w:bottom w:val="single" w:sz="6" w:space="1" w:color="6B7280"/>
        </w:pBdr>
      </w:pPr>
    </w:p>
    <w:p/>
    <w:p>
      <w:pPr>
        <w:spacing w:before="120" w:after="40"/>
        <w:jc w:val="center"/>
      </w:pPr>
      <w:r>
        <w:rPr>
          <w:rFonts w:ascii="Times New Roman" w:hAnsi="Times New Roman"/>
          <w:b/>
          <w:i w:val="0"/>
          <w:sz w:val="24"/>
        </w:rPr>
        <w:t>FIG. 3</w:t>
      </w:r>
    </w:p>
    <w:p>
      <w:pPr>
        <w:spacing w:before="160" w:after="120"/>
        <w:jc w:val="center"/>
      </w:pPr>
      <w:r>
        <w:drawing>
          <wp:inline xmlns:a="http://schemas.openxmlformats.org/drawingml/2006/main" xmlns:pic="http://schemas.openxmlformats.org/drawingml/2006/picture">
            <wp:extent cx="5029200" cy="6654992"/>
            <wp:docPr id="3" name="Picture 3"/>
            <wp:cNvGraphicFramePr>
              <a:graphicFrameLocks noChangeAspect="1"/>
            </wp:cNvGraphicFramePr>
            <a:graphic>
              <a:graphicData uri="http://schemas.openxmlformats.org/drawingml/2006/picture">
                <pic:pic>
                  <pic:nvPicPr>
                    <pic:cNvPr id="0" name="FIG3_pipeline.png"/>
                    <pic:cNvPicPr/>
                  </pic:nvPicPr>
                  <pic:blipFill>
                    <a:blip r:embed="rId11"/>
                    <a:stretch>
                      <a:fillRect/>
                    </a:stretch>
                  </pic:blipFill>
                  <pic:spPr>
                    <a:xfrm>
                      <a:off x="0" y="0"/>
                      <a:ext cx="5029200" cy="6654992"/>
                    </a:xfrm>
                    <a:prstGeom prst="rect"/>
                  </pic:spPr>
                </pic:pic>
              </a:graphicData>
            </a:graphic>
          </wp:inline>
        </w:drawing>
      </w:r>
    </w:p>
    <w:p>
      <w:pPr>
        <w:spacing w:before="40" w:after="320"/>
        <w:jc w:val="center"/>
      </w:pPr>
      <w:r>
        <w:rPr>
          <w:rFonts w:ascii="Arial" w:hAnsi="Arial"/>
          <w:i/>
          <w:color w:val="3B007F"/>
          <w:sz w:val="18"/>
        </w:rPr>
        <w:t>FIG. 3 — Three-Stage Cascading Match Pipeline: Threshold-driven routing through deterministic, probabilistic Fellegi-Sunter, and AI-enhanced LLM matching stages.</w:t>
      </w:r>
    </w:p>
    <w:p>
      <w:pPr>
        <w:spacing w:before="80" w:after="80"/>
        <w:pBdr>
          <w:bottom w:val="single" w:sz="6" w:space="1" w:color="6B7280"/>
        </w:pBdr>
      </w:pPr>
    </w:p>
    <w:p/>
    <w:p>
      <w:pPr>
        <w:spacing w:before="120" w:after="40"/>
        <w:jc w:val="center"/>
      </w:pPr>
      <w:r>
        <w:rPr>
          <w:rFonts w:ascii="Times New Roman" w:hAnsi="Times New Roman"/>
          <w:b/>
          <w:i w:val="0"/>
          <w:sz w:val="24"/>
        </w:rPr>
        <w:t>FIG. 4</w:t>
      </w:r>
    </w:p>
    <w:p>
      <w:pPr>
        <w:spacing w:before="160" w:after="120"/>
        <w:jc w:val="center"/>
      </w:pPr>
      <w:r>
        <w:drawing>
          <wp:inline xmlns:a="http://schemas.openxmlformats.org/drawingml/2006/main" xmlns:pic="http://schemas.openxmlformats.org/drawingml/2006/picture">
            <wp:extent cx="5029200" cy="4321583"/>
            <wp:docPr id="4" name="Picture 4"/>
            <wp:cNvGraphicFramePr>
              <a:graphicFrameLocks noChangeAspect="1"/>
            </wp:cNvGraphicFramePr>
            <a:graphic>
              <a:graphicData uri="http://schemas.openxmlformats.org/drawingml/2006/picture">
                <pic:pic>
                  <pic:nvPicPr>
                    <pic:cNvPr id="0" name="FIG4_em_algorithm.png"/>
                    <pic:cNvPicPr/>
                  </pic:nvPicPr>
                  <pic:blipFill>
                    <a:blip r:embed="rId12"/>
                    <a:stretch>
                      <a:fillRect/>
                    </a:stretch>
                  </pic:blipFill>
                  <pic:spPr>
                    <a:xfrm>
                      <a:off x="0" y="0"/>
                      <a:ext cx="5029200" cy="4321583"/>
                    </a:xfrm>
                    <a:prstGeom prst="rect"/>
                  </pic:spPr>
                </pic:pic>
              </a:graphicData>
            </a:graphic>
          </wp:inline>
        </w:drawing>
      </w:r>
    </w:p>
    <w:p>
      <w:pPr>
        <w:spacing w:before="40" w:after="320"/>
        <w:jc w:val="center"/>
      </w:pPr>
      <w:r>
        <w:rPr>
          <w:rFonts w:ascii="Arial" w:hAnsi="Arial"/>
          <w:i/>
          <w:color w:val="3B007F"/>
          <w:sz w:val="18"/>
        </w:rPr>
        <w:t>FIG. 4 — Self-Calibrating Fellegi-Sunter EM Algorithm: E-step and M-step iterations for autonomous m-probability and u-probability estimation across ten attributes.</w:t>
      </w:r>
    </w:p>
    <w:p>
      <w:pPr>
        <w:spacing w:before="80" w:after="80"/>
        <w:pBdr>
          <w:bottom w:val="single" w:sz="6" w:space="1" w:color="6B7280"/>
        </w:pBdr>
      </w:pPr>
    </w:p>
    <w:p/>
    <w:p>
      <w:pPr>
        <w:spacing w:before="120" w:after="40"/>
        <w:jc w:val="center"/>
      </w:pPr>
      <w:r>
        <w:rPr>
          <w:rFonts w:ascii="Times New Roman" w:hAnsi="Times New Roman"/>
          <w:b/>
          <w:i w:val="0"/>
          <w:sz w:val="24"/>
        </w:rPr>
        <w:t>FIG. 5</w:t>
      </w:r>
    </w:p>
    <w:p>
      <w:pPr>
        <w:spacing w:before="160" w:after="120"/>
        <w:jc w:val="center"/>
      </w:pPr>
      <w:r>
        <w:drawing>
          <wp:inline xmlns:a="http://schemas.openxmlformats.org/drawingml/2006/main" xmlns:pic="http://schemas.openxmlformats.org/drawingml/2006/picture">
            <wp:extent cx="5029200" cy="6065020"/>
            <wp:docPr id="5" name="Picture 5"/>
            <wp:cNvGraphicFramePr>
              <a:graphicFrameLocks noChangeAspect="1"/>
            </wp:cNvGraphicFramePr>
            <a:graphic>
              <a:graphicData uri="http://schemas.openxmlformats.org/drawingml/2006/picture">
                <pic:pic>
                  <pic:nvPicPr>
                    <pic:cNvPr id="0" name="FIG5_drift_detection.png"/>
                    <pic:cNvPicPr/>
                  </pic:nvPicPr>
                  <pic:blipFill>
                    <a:blip r:embed="rId13"/>
                    <a:stretch>
                      <a:fillRect/>
                    </a:stretch>
                  </pic:blipFill>
                  <pic:spPr>
                    <a:xfrm>
                      <a:off x="0" y="0"/>
                      <a:ext cx="5029200" cy="6065020"/>
                    </a:xfrm>
                    <a:prstGeom prst="rect"/>
                  </pic:spPr>
                </pic:pic>
              </a:graphicData>
            </a:graphic>
          </wp:inline>
        </w:drawing>
      </w:r>
    </w:p>
    <w:p>
      <w:pPr>
        <w:spacing w:before="40" w:after="320"/>
        <w:jc w:val="center"/>
      </w:pPr>
      <w:r>
        <w:rPr>
          <w:rFonts w:ascii="Arial" w:hAnsi="Arial"/>
          <w:i/>
          <w:color w:val="3B007F"/>
          <w:sz w:val="18"/>
        </w:rPr>
        <w:t>FIG. 5 — Post-Update Cluster Drift Detection: Probabilistic re-evaluation of cluster membership following attribute update, with automated reassignment and steward escalation.</w:t>
      </w:r>
    </w:p>
    <w:p>
      <w:pPr>
        <w:spacing w:before="80" w:after="80"/>
        <w:pBdr>
          <w:bottom w:val="single" w:sz="6" w:space="1" w:color="6B7280"/>
        </w:pBdr>
      </w:pPr>
    </w:p>
    <w:p/>
    <w:p>
      <w:pPr>
        <w:spacing w:before="120" w:after="40"/>
        <w:jc w:val="center"/>
      </w:pPr>
      <w:r>
        <w:rPr>
          <w:rFonts w:ascii="Times New Roman" w:hAnsi="Times New Roman"/>
          <w:b/>
          <w:i w:val="0"/>
          <w:sz w:val="24"/>
        </w:rPr>
        <w:t>FIG. 6</w:t>
      </w:r>
    </w:p>
    <w:p>
      <w:pPr>
        <w:spacing w:before="160" w:after="120"/>
        <w:jc w:val="center"/>
      </w:pPr>
      <w:r>
        <w:drawing>
          <wp:inline xmlns:a="http://schemas.openxmlformats.org/drawingml/2006/main" xmlns:pic="http://schemas.openxmlformats.org/drawingml/2006/picture">
            <wp:extent cx="5029200" cy="3357351"/>
            <wp:docPr id="6" name="Picture 6"/>
            <wp:cNvGraphicFramePr>
              <a:graphicFrameLocks noChangeAspect="1"/>
            </wp:cNvGraphicFramePr>
            <a:graphic>
              <a:graphicData uri="http://schemas.openxmlformats.org/drawingml/2006/picture">
                <pic:pic>
                  <pic:nvPicPr>
                    <pic:cNvPr id="0" name="FIG6_data_model.png"/>
                    <pic:cNvPicPr/>
                  </pic:nvPicPr>
                  <pic:blipFill>
                    <a:blip r:embed="rId14"/>
                    <a:stretch>
                      <a:fillRect/>
                    </a:stretch>
                  </pic:blipFill>
                  <pic:spPr>
                    <a:xfrm>
                      <a:off x="0" y="0"/>
                      <a:ext cx="5029200" cy="3357351"/>
                    </a:xfrm>
                    <a:prstGeom prst="rect"/>
                  </pic:spPr>
                </pic:pic>
              </a:graphicData>
            </a:graphic>
          </wp:inline>
        </w:drawing>
      </w:r>
    </w:p>
    <w:p>
      <w:pPr>
        <w:spacing w:before="40" w:after="320"/>
        <w:jc w:val="center"/>
      </w:pPr>
      <w:r>
        <w:rPr>
          <w:rFonts w:ascii="Arial" w:hAnsi="Arial"/>
          <w:i/>
          <w:color w:val="3B007F"/>
          <w:sz w:val="18"/>
        </w:rPr>
        <w:t>FIG. 6 — Hybrid Graph + Document Data Model: Relationships between Party nodes (Neo4j), GoldenRecord documents, and TimelineEvent documents (Azure Cosmos DB).</w:t>
      </w:r>
    </w:p>
    <w:p>
      <w:pPr>
        <w:spacing w:before="80" w:after="80"/>
        <w:pBdr>
          <w:bottom w:val="single" w:sz="6" w:space="1" w:color="6B7280"/>
        </w:pBdr>
      </w:pPr>
    </w:p>
    <w:p/>
    <w:p>
      <w:pPr>
        <w:spacing w:before="120" w:after="40"/>
        <w:jc w:val="center"/>
      </w:pPr>
      <w:r>
        <w:rPr>
          <w:rFonts w:ascii="Times New Roman" w:hAnsi="Times New Roman"/>
          <w:b/>
          <w:i w:val="0"/>
          <w:sz w:val="24"/>
        </w:rPr>
        <w:t>FIG. 7</w:t>
      </w:r>
    </w:p>
    <w:p>
      <w:pPr>
        <w:spacing w:before="160" w:after="120"/>
        <w:jc w:val="center"/>
      </w:pPr>
      <w:r>
        <w:drawing>
          <wp:inline xmlns:a="http://schemas.openxmlformats.org/drawingml/2006/main" xmlns:pic="http://schemas.openxmlformats.org/drawingml/2006/picture">
            <wp:extent cx="5029200" cy="4736271"/>
            <wp:docPr id="7" name="Picture 7"/>
            <wp:cNvGraphicFramePr>
              <a:graphicFrameLocks noChangeAspect="1"/>
            </wp:cNvGraphicFramePr>
            <a:graphic>
              <a:graphicData uri="http://schemas.openxmlformats.org/drawingml/2006/picture">
                <pic:pic>
                  <pic:nvPicPr>
                    <pic:cNvPr id="0" name="FIG7_provisional_identity.png"/>
                    <pic:cNvPicPr/>
                  </pic:nvPicPr>
                  <pic:blipFill>
                    <a:blip r:embed="rId15"/>
                    <a:stretch>
                      <a:fillRect/>
                    </a:stretch>
                  </pic:blipFill>
                  <pic:spPr>
                    <a:xfrm>
                      <a:off x="0" y="0"/>
                      <a:ext cx="5029200" cy="4736271"/>
                    </a:xfrm>
                    <a:prstGeom prst="rect"/>
                  </pic:spPr>
                </pic:pic>
              </a:graphicData>
            </a:graphic>
          </wp:inline>
        </w:drawing>
      </w:r>
    </w:p>
    <w:p>
      <w:pPr>
        <w:spacing w:before="40" w:after="320"/>
        <w:jc w:val="center"/>
      </w:pPr>
      <w:r>
        <w:rPr>
          <w:rFonts w:ascii="Arial" w:hAnsi="Arial"/>
          <w:i/>
          <w:color w:val="3B007F"/>
          <w:sz w:val="18"/>
        </w:rPr>
        <w:t>FIG. 7 — Provisional Golden Identity Lifecycle: Assignment of a globally unique golden identifier at first persistence, eliminating the null golden state throughout steward review.</w:t>
      </w:r>
    </w:p>
    <w:p>
      <w:pPr>
        <w:spacing w:before="80" w:after="80"/>
        <w:pBdr>
          <w:bottom w:val="single" w:sz="6" w:space="1" w:color="6B7280"/>
        </w:pBdr>
      </w:pPr>
    </w:p>
    <w:p/>
    <w:p>
      <w:pPr>
        <w:spacing w:before="120" w:after="40"/>
        <w:jc w:val="center"/>
      </w:pPr>
      <w:r>
        <w:rPr>
          <w:rFonts w:ascii="Times New Roman" w:hAnsi="Times New Roman"/>
          <w:b/>
          <w:i w:val="0"/>
          <w:sz w:val="24"/>
        </w:rPr>
        <w:t>FIG. 8</w:t>
      </w:r>
    </w:p>
    <w:p>
      <w:pPr>
        <w:spacing w:before="160" w:after="120"/>
        <w:jc w:val="center"/>
      </w:pPr>
      <w:r>
        <w:drawing>
          <wp:inline xmlns:a="http://schemas.openxmlformats.org/drawingml/2006/main" xmlns:pic="http://schemas.openxmlformats.org/drawingml/2006/picture">
            <wp:extent cx="5029200" cy="4321583"/>
            <wp:docPr id="8" name="Picture 8"/>
            <wp:cNvGraphicFramePr>
              <a:graphicFrameLocks noChangeAspect="1"/>
            </wp:cNvGraphicFramePr>
            <a:graphic>
              <a:graphicData uri="http://schemas.openxmlformats.org/drawingml/2006/picture">
                <pic:pic>
                  <pic:nvPicPr>
                    <pic:cNvPr id="0" name="FIG8_ml_feedback.png"/>
                    <pic:cNvPicPr/>
                  </pic:nvPicPr>
                  <pic:blipFill>
                    <a:blip r:embed="rId16"/>
                    <a:stretch>
                      <a:fillRect/>
                    </a:stretch>
                  </pic:blipFill>
                  <pic:spPr>
                    <a:xfrm>
                      <a:off x="0" y="0"/>
                      <a:ext cx="5029200" cy="4321583"/>
                    </a:xfrm>
                    <a:prstGeom prst="rect"/>
                  </pic:spPr>
                </pic:pic>
              </a:graphicData>
            </a:graphic>
          </wp:inline>
        </w:drawing>
      </w:r>
    </w:p>
    <w:p>
      <w:pPr>
        <w:spacing w:before="40" w:after="320"/>
        <w:jc w:val="center"/>
      </w:pPr>
      <w:r>
        <w:rPr>
          <w:rFonts w:ascii="Arial" w:hAnsi="Arial"/>
          <w:i/>
          <w:color w:val="3B007F"/>
          <w:sz w:val="18"/>
        </w:rPr>
        <w:t>FIG. 8 — Human-in-the-Loop ML Feedback Pipeline: Feature vector capture at steward decision time, immutable feedback storage, and automatic logistic regression retraining.</w:t>
      </w:r>
    </w:p>
    <w:p>
      <w:r>
        <w:br w:type="page"/>
      </w:r>
    </w:p>
    <w:p>
      <w:pPr>
        <w:pStyle w:val="Heading2"/>
      </w:pPr>
      <w:r>
        <w:t>DETAILED DESCRIPTION OF THE PREFERRED EMBODIMENTS</w:t>
      </w:r>
    </w:p>
    <w:p>
      <w:pPr>
        <w:pStyle w:val="Heading3"/>
      </w:pPr>
      <w:r>
        <w:t>I. SYSTEM OVERVIEW</w:t>
      </w:r>
    </w:p>
    <w:p>
      <w:pPr>
        <w:spacing w:before="40" w:after="80"/>
        <w:jc w:val="both"/>
      </w:pPr>
      <w:r>
        <w:rPr>
          <w:rFonts w:ascii="Times New Roman" w:hAnsi="Times New Roman"/>
          <w:b w:val="0"/>
          <w:i w:val="0"/>
          <w:sz w:val="24"/>
        </w:rPr>
        <w:t>The Averio MDM platform comprises a Spring Boot Java application deployed on Microsoft Azure, utilizing Neo4j as a graph database for entity relationships and party records, Azure Cosmos DB for document storage of golden records, timeline events, matching feedback, and governance policies, and an in-memory concurrent hash map structure for real-time blocking index operations.</w:t>
      </w:r>
    </w:p>
    <w:p>
      <w:pPr>
        <w:spacing w:before="40" w:after="80"/>
        <w:jc w:val="both"/>
      </w:pPr>
      <w:r>
        <w:rPr>
          <w:rFonts w:ascii="Times New Roman" w:hAnsi="Times New Roman"/>
          <w:b w:val="0"/>
          <w:i w:val="0"/>
          <w:sz w:val="24"/>
        </w:rPr>
        <w:t>The platform is organized into the following principal subsystems:</w:t>
      </w:r>
    </w:p>
    <w:p>
      <w:pPr>
        <w:pStyle w:val="ListBullet"/>
        <w:spacing w:before="20" w:after="20"/>
      </w:pPr>
      <w:r>
        <w:rPr>
          <w:rFonts w:ascii="Times New Roman" w:hAnsi="Times New Roman"/>
          <w:sz w:val="24"/>
        </w:rPr>
        <w:t>Ingest Pipeline (`PartyService.ingestParty()`)</w:t>
      </w:r>
    </w:p>
    <w:p>
      <w:pPr>
        <w:pStyle w:val="ListBullet"/>
        <w:spacing w:before="20" w:after="20"/>
      </w:pPr>
      <w:r>
        <w:rPr>
          <w:rFonts w:ascii="Times New Roman" w:hAnsi="Times New Roman"/>
          <w:sz w:val="24"/>
        </w:rPr>
        <w:t>Blocking Engine (`BlockingKeyService`)</w:t>
      </w:r>
    </w:p>
    <w:p>
      <w:pPr>
        <w:pStyle w:val="ListBullet"/>
        <w:spacing w:before="20" w:after="20"/>
      </w:pPr>
      <w:r>
        <w:rPr>
          <w:rFonts w:ascii="Times New Roman" w:hAnsi="Times New Roman"/>
          <w:sz w:val="24"/>
        </w:rPr>
        <w:t>Matching Engine (`MatchingEngine`, `ProbabilisticMatcher`, `AIEnhancedMatcher`)</w:t>
      </w:r>
    </w:p>
    <w:p>
      <w:pPr>
        <w:pStyle w:val="ListBullet"/>
        <w:spacing w:before="20" w:after="20"/>
      </w:pPr>
      <w:r>
        <w:rPr>
          <w:rFonts w:ascii="Times New Roman" w:hAnsi="Times New Roman"/>
          <w:sz w:val="24"/>
        </w:rPr>
        <w:t>EM Parameter Estimation (`EMAlgorithmService`)</w:t>
      </w:r>
    </w:p>
    <w:p>
      <w:pPr>
        <w:pStyle w:val="ListBullet"/>
        <w:spacing w:before="20" w:after="20"/>
      </w:pPr>
      <w:r>
        <w:rPr>
          <w:rFonts w:ascii="Times New Roman" w:hAnsi="Times New Roman"/>
          <w:sz w:val="24"/>
        </w:rPr>
        <w:t>Survivorship Engine (`SurvivorshipEngine`)</w:t>
      </w:r>
    </w:p>
    <w:p>
      <w:pPr>
        <w:pStyle w:val="ListBullet"/>
        <w:spacing w:before="20" w:after="20"/>
      </w:pPr>
      <w:r>
        <w:rPr>
          <w:rFonts w:ascii="Times New Roman" w:hAnsi="Times New Roman"/>
          <w:sz w:val="24"/>
        </w:rPr>
        <w:t>Golden Record Service (`GoldenRecordService`)</w:t>
      </w:r>
    </w:p>
    <w:p>
      <w:pPr>
        <w:pStyle w:val="ListBullet"/>
        <w:spacing w:before="20" w:after="20"/>
      </w:pPr>
      <w:r>
        <w:rPr>
          <w:rFonts w:ascii="Times New Roman" w:hAnsi="Times New Roman"/>
          <w:sz w:val="24"/>
        </w:rPr>
        <w:t>Timeline Service (`TimelineService`)</w:t>
      </w:r>
    </w:p>
    <w:p>
      <w:pPr>
        <w:pStyle w:val="ListBullet"/>
        <w:spacing w:before="20" w:after="20"/>
      </w:pPr>
      <w:r>
        <w:rPr>
          <w:rFonts w:ascii="Times New Roman" w:hAnsi="Times New Roman"/>
          <w:sz w:val="24"/>
        </w:rPr>
        <w:t>ML Matching Service (`MLMatchingService`)</w:t>
      </w:r>
    </w:p>
    <w:p>
      <w:pPr>
        <w:pStyle w:val="ListBullet"/>
        <w:spacing w:before="20" w:after="20"/>
      </w:pPr>
      <w:r>
        <w:rPr>
          <w:rFonts w:ascii="Times New Roman" w:hAnsi="Times New Roman"/>
          <w:sz w:val="24"/>
        </w:rPr>
        <w:t>Steward Service (`StewardService`)</w:t>
      </w:r>
    </w:p>
    <w:p>
      <w:pPr>
        <w:pStyle w:val="ListBullet"/>
        <w:spacing w:before="20" w:after="20"/>
      </w:pPr>
      <w:r>
        <w:rPr>
          <w:rFonts w:ascii="Times New Roman" w:hAnsi="Times New Roman"/>
          <w:sz w:val="24"/>
        </w:rPr>
        <w:t>Test Laboratory (`TestRunnerService`, seven test suites)</w:t>
      </w:r>
    </w:p>
    <w:p>
      <w:pPr>
        <w:pStyle w:val="Heading3"/>
      </w:pPr>
      <w:r>
        <w:t>II. NINE-STRATEGY UNION BLOCKING ENGINE</w:t>
      </w:r>
    </w:p>
    <w:p>
      <w:pPr>
        <w:spacing w:before="200" w:after="80"/>
      </w:pPr>
      <w:r>
        <w:rPr>
          <w:rFonts w:ascii="Arial" w:hAnsi="Arial"/>
          <w:b/>
          <w:color w:val="1E1B4B"/>
          <w:sz w:val="22"/>
        </w:rPr>
        <w:t>II.A. The Computational Problem</w:t>
      </w:r>
    </w:p>
    <w:p>
      <w:pPr>
        <w:spacing w:before="40" w:after="80"/>
        <w:jc w:val="both"/>
      </w:pPr>
      <w:r>
        <w:rPr>
          <w:rFonts w:ascii="Times New Roman" w:hAnsi="Times New Roman"/>
          <w:b w:val="0"/>
          <w:i w:val="0"/>
          <w:sz w:val="24"/>
        </w:rPr>
        <w:t>For an enterprise with N party records, naïve pairwise matching requires O(N²) comparisons. The blocking engine reduces the candidate set for any incoming record to O(k) candidates where k is bounded by the sum of bucket sizes across all matching blocking keys.</w:t>
      </w:r>
    </w:p>
    <w:p>
      <w:pPr>
        <w:spacing w:before="200" w:after="80"/>
      </w:pPr>
      <w:r>
        <w:rPr>
          <w:rFonts w:ascii="Arial" w:hAnsi="Arial"/>
          <w:b/>
          <w:color w:val="1E1B4B"/>
          <w:sz w:val="22"/>
        </w:rPr>
        <w:t>II.B. Blocking Key Generation</w:t>
      </w:r>
    </w:p>
    <w:p>
      <w:pPr>
        <w:spacing w:before="40" w:after="80"/>
        <w:jc w:val="both"/>
      </w:pPr>
      <w:r>
        <w:rPr>
          <w:rFonts w:ascii="Times New Roman" w:hAnsi="Times New Roman"/>
          <w:b w:val="0"/>
          <w:i w:val="0"/>
          <w:sz w:val="24"/>
        </w:rPr>
        <w:t>For each Party record, the system generates blocking keys using nine independent strategies. The keys are computed by `BlockingKeyService.generateKeys(Party party)`:</w:t>
      </w:r>
    </w:p>
    <w:p>
      <w:pPr>
        <w:spacing w:before="40" w:after="40"/>
        <w:jc w:val="both"/>
      </w:pPr>
      <w:r>
        <w:rPr>
          <w:rFonts w:ascii="Times New Roman" w:hAnsi="Times New Roman"/>
          <w:b/>
          <w:i w:val="0"/>
          <w:sz w:val="24"/>
        </w:rPr>
        <w:t>Strategy 1 — Token Double Metaphone (`DM:&lt;code&gt;`):</w:t>
      </w:r>
    </w:p>
    <w:p>
      <w:pPr>
        <w:spacing w:before="40" w:after="80"/>
        <w:jc w:val="both"/>
      </w:pPr>
      <w:r>
        <w:rPr>
          <w:rFonts w:ascii="Times New Roman" w:hAnsi="Times New Roman"/>
          <w:b w:val="0"/>
          <w:i w:val="0"/>
          <w:sz w:val="24"/>
        </w:rPr>
        <w:t>Each whitespace-tokenized word in the party's primary name (organization name, full name, or first+last) is encoded using the Double Metaphone phonetic algorithm. Each resulting code is prefixed with `"DM:"` and added to the key set. This strategy handles phonetic name variations (e.g., "Johnson" and "Jonson" produce the same DM code).</w:t>
      </w:r>
    </w:p>
    <w:p>
      <w:pPr>
        <w:spacing w:before="40" w:after="40"/>
        <w:jc w:val="both"/>
      </w:pPr>
      <w:r>
        <w:rPr>
          <w:rFonts w:ascii="Times New Roman" w:hAnsi="Times New Roman"/>
          <w:b/>
          <w:i w:val="0"/>
          <w:sz w:val="24"/>
        </w:rPr>
        <w:t>Strategy 1b — Nickname Variant Double Metaphone:</w:t>
      </w:r>
    </w:p>
    <w:p>
      <w:pPr>
        <w:spacing w:before="40" w:after="80"/>
        <w:jc w:val="both"/>
      </w:pPr>
      <w:r>
        <w:rPr>
          <w:rFonts w:ascii="Times New Roman" w:hAnsi="Times New Roman"/>
          <w:b w:val="0"/>
          <w:i w:val="0"/>
          <w:sz w:val="24"/>
        </w:rPr>
        <w:t>For individual party types, the `NicknameService` expands the first name into all equivalent forms (e.g., "Bob" → {"Bob", "Robert", "Rob", "Bobby", "Robby"}) and generates additional `DM:` keys for each variant. This novel extension ensures that "Bob Smith" and "Robert Smith" share at least one blocking key.</w:t>
      </w:r>
    </w:p>
    <w:p>
      <w:pPr>
        <w:spacing w:before="40" w:after="40"/>
        <w:jc w:val="both"/>
      </w:pPr>
      <w:r>
        <w:rPr>
          <w:rFonts w:ascii="Times New Roman" w:hAnsi="Times New Roman"/>
          <w:b/>
          <w:i w:val="0"/>
          <w:sz w:val="24"/>
        </w:rPr>
        <w:t>Strategy 2 — Full Collapsed Name Double Metaphone (`DMF:&lt;code&gt;`):</w:t>
      </w:r>
    </w:p>
    <w:p>
      <w:pPr>
        <w:spacing w:before="40" w:after="80"/>
        <w:jc w:val="both"/>
      </w:pPr>
      <w:r>
        <w:rPr>
          <w:rFonts w:ascii="Times New Roman" w:hAnsi="Times New Roman"/>
          <w:b w:val="0"/>
          <w:i w:val="0"/>
          <w:sz w:val="24"/>
        </w:rPr>
        <w:t>All whitespace is removed from the normalized name before DM encoding (e.g., "John Smith" → "JohnSmith" → DM code). This captures cases where tokenization differs between source systems.</w:t>
      </w:r>
    </w:p>
    <w:p>
      <w:pPr>
        <w:spacing w:before="40" w:after="40"/>
        <w:jc w:val="both"/>
      </w:pPr>
      <w:r>
        <w:rPr>
          <w:rFonts w:ascii="Times New Roman" w:hAnsi="Times New Roman"/>
          <w:b/>
          <w:i w:val="0"/>
          <w:sz w:val="24"/>
        </w:rPr>
        <w:t>Strategy 3 — First Initial Plus Last Token Phonetic (`FI:&lt;c&gt;:&lt;code&gt;`):</w:t>
      </w:r>
    </w:p>
    <w:p>
      <w:pPr>
        <w:spacing w:before="40" w:after="80"/>
        <w:jc w:val="both"/>
      </w:pPr>
      <w:r>
        <w:rPr>
          <w:rFonts w:ascii="Times New Roman" w:hAnsi="Times New Roman"/>
          <w:b w:val="0"/>
          <w:i w:val="0"/>
          <w:sz w:val="24"/>
        </w:rPr>
        <w:t>The first character of the first name token and the DM code of the last name token are combined (e.g., "J:SM0"). Nickname expansion is also applied to the first token, generating additional FI: keys per variant.</w:t>
      </w:r>
    </w:p>
    <w:p>
      <w:pPr>
        <w:spacing w:before="40" w:after="40"/>
        <w:jc w:val="both"/>
      </w:pPr>
      <w:r>
        <w:rPr>
          <w:rFonts w:ascii="Times New Roman" w:hAnsi="Times New Roman"/>
          <w:b/>
          <w:i w:val="0"/>
          <w:sz w:val="24"/>
        </w:rPr>
        <w:t>Strategy 4 — Date of Birth Year-Month Plus Initial (`DOB:&lt;y&gt;-&lt;m&gt;:&lt;c&gt;`):</w:t>
      </w:r>
    </w:p>
    <w:p>
      <w:pPr>
        <w:spacing w:before="40" w:after="80"/>
        <w:jc w:val="both"/>
      </w:pPr>
      <w:r>
        <w:rPr>
          <w:rFonts w:ascii="Times New Roman" w:hAnsi="Times New Roman"/>
          <w:b w:val="0"/>
          <w:i w:val="0"/>
          <w:sz w:val="24"/>
        </w:rPr>
        <w:t>For parties with a known date of birth, the year, month, and first character of the primary name initial are combined. This strategy is highly discriminating for individual records with date-of-birth data.</w:t>
      </w:r>
    </w:p>
    <w:p>
      <w:pPr>
        <w:spacing w:before="40" w:after="40"/>
        <w:jc w:val="both"/>
      </w:pPr>
      <w:r>
        <w:rPr>
          <w:rFonts w:ascii="Times New Roman" w:hAnsi="Times New Roman"/>
          <w:b/>
          <w:i w:val="0"/>
          <w:sz w:val="24"/>
        </w:rPr>
        <w:t>Strategy 5 — Tax Identifier Prefix (`TAX:&lt;4digits&gt;`):</w:t>
      </w:r>
    </w:p>
    <w:p>
      <w:pPr>
        <w:spacing w:before="40" w:after="80"/>
        <w:jc w:val="both"/>
      </w:pPr>
      <w:r>
        <w:rPr>
          <w:rFonts w:ascii="Times New Roman" w:hAnsi="Times New Roman"/>
          <w:b w:val="0"/>
          <w:i w:val="0"/>
          <w:sz w:val="24"/>
        </w:rPr>
        <w:t>The first four digits of the Tax ID or EIN (after stripping non-numeric characters) form a blocking key. This provides a strong signal for organizations where the tax ID is partially known.</w:t>
      </w:r>
    </w:p>
    <w:p>
      <w:pPr>
        <w:spacing w:before="40" w:after="40"/>
        <w:jc w:val="both"/>
      </w:pPr>
      <w:r>
        <w:rPr>
          <w:rFonts w:ascii="Times New Roman" w:hAnsi="Times New Roman"/>
          <w:b/>
          <w:i w:val="0"/>
          <w:sz w:val="24"/>
        </w:rPr>
        <w:t>Strategy 6 — Phone Number Suffix (`PH7:&lt;7digits&gt;`):</w:t>
      </w:r>
    </w:p>
    <w:p>
      <w:pPr>
        <w:spacing w:before="40" w:after="80"/>
        <w:jc w:val="both"/>
      </w:pPr>
      <w:r>
        <w:rPr>
          <w:rFonts w:ascii="Times New Roman" w:hAnsi="Times New Roman"/>
          <w:b w:val="0"/>
          <w:i w:val="0"/>
          <w:sz w:val="24"/>
        </w:rPr>
        <w:t>The last seven digits of each phone number across all phone types in the party's phone map are used as blocking keys. This is effective when area codes differ between source systems.</w:t>
      </w:r>
    </w:p>
    <w:p>
      <w:pPr>
        <w:spacing w:before="40" w:after="40"/>
        <w:jc w:val="both"/>
      </w:pPr>
      <w:r>
        <w:rPr>
          <w:rFonts w:ascii="Times New Roman" w:hAnsi="Times New Roman"/>
          <w:b/>
          <w:i w:val="0"/>
          <w:sz w:val="24"/>
        </w:rPr>
        <w:t>Strategy 7 — Email Domain Plus Initial (`EM:&lt;domain&gt;:&lt;c&gt;`):</w:t>
      </w:r>
    </w:p>
    <w:p>
      <w:pPr>
        <w:spacing w:before="40" w:after="80"/>
        <w:jc w:val="both"/>
      </w:pPr>
      <w:r>
        <w:rPr>
          <w:rFonts w:ascii="Times New Roman" w:hAnsi="Times New Roman"/>
          <w:b w:val="0"/>
          <w:i w:val="0"/>
          <w:sz w:val="24"/>
        </w:rPr>
        <w:t>The email domain extracted from the `@` delimiter and the first character of the primary name are combined. This is effective for corporate records where multiple employees share a domain.</w:t>
      </w:r>
    </w:p>
    <w:p>
      <w:pPr>
        <w:spacing w:before="40" w:after="40"/>
        <w:jc w:val="both"/>
      </w:pPr>
      <w:r>
        <w:rPr>
          <w:rFonts w:ascii="Times New Roman" w:hAnsi="Times New Roman"/>
          <w:b/>
          <w:i w:val="0"/>
          <w:sz w:val="24"/>
        </w:rPr>
        <w:t>Strategy 8 — Postal Code Prefix Plus Phonetic (`ZIP:&lt;5chars&gt;:&lt;code&gt;`):</w:t>
      </w:r>
    </w:p>
    <w:p>
      <w:pPr>
        <w:spacing w:before="40" w:after="80"/>
        <w:jc w:val="both"/>
      </w:pPr>
      <w:r>
        <w:rPr>
          <w:rFonts w:ascii="Times New Roman" w:hAnsi="Times New Roman"/>
          <w:b w:val="0"/>
          <w:i w:val="0"/>
          <w:sz w:val="24"/>
        </w:rPr>
        <w:t>The first five alphanumeric characters of the primary address postal code, combined with the DM code of the first name token, create a geographically-scoped phonetic key.</w:t>
      </w:r>
    </w:p>
    <w:p>
      <w:pPr>
        <w:spacing w:before="40" w:after="40"/>
        <w:jc w:val="both"/>
      </w:pPr>
      <w:r>
        <w:rPr>
          <w:rFonts w:ascii="Times New Roman" w:hAnsi="Times New Roman"/>
          <w:b/>
          <w:i w:val="0"/>
          <w:sz w:val="24"/>
        </w:rPr>
        <w:t>Strategy 9 — Exact High-Cardinality Identifiers (`DUNS:&lt;#&gt;`, `LEI:&lt;#&gt;`, `NID:&lt;#&gt;`):</w:t>
      </w:r>
    </w:p>
    <w:p>
      <w:pPr>
        <w:spacing w:before="40" w:after="80"/>
        <w:jc w:val="both"/>
      </w:pPr>
      <w:r>
        <w:rPr>
          <w:rFonts w:ascii="Times New Roman" w:hAnsi="Times New Roman"/>
          <w:b w:val="0"/>
          <w:i w:val="0"/>
          <w:sz w:val="24"/>
        </w:rPr>
        <w:t>DUNS number, LEI (Legal Entity Identifier), and National ID are stored verbatim as blocking keys after character normalization. Because these identifiers are globally unique, a bucket hit is near-deterministic.</w:t>
      </w:r>
    </w:p>
    <w:p>
      <w:pPr>
        <w:spacing w:before="200" w:after="80"/>
      </w:pPr>
      <w:r>
        <w:rPr>
          <w:rFonts w:ascii="Arial" w:hAnsi="Arial"/>
          <w:b/>
          <w:color w:val="1E1B4B"/>
          <w:sz w:val="22"/>
        </w:rPr>
        <w:t>II.C. Dual-Map Index Structure</w:t>
      </w:r>
    </w:p>
    <w:p>
      <w:pPr>
        <w:spacing w:before="40" w:after="80"/>
        <w:jc w:val="both"/>
      </w:pPr>
      <w:r>
        <w:rPr>
          <w:rFonts w:ascii="Times New Roman" w:hAnsi="Times New Roman"/>
          <w:b w:val="0"/>
          <w:i w:val="0"/>
          <w:sz w:val="24"/>
        </w:rPr>
        <w:t>Two concurrent hash maps are maintained in memory:</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inverted_index: Map&lt;String(blockingKey), Set&lt;String(globalId)&gt;&gt;</w:t>
              <w:br/>
              <w:t>forward_index:  Map&lt;String(globalId), Set&lt;String(blockingKey)&gt;&gt;</w:t>
            </w:r>
          </w:p>
        </w:tc>
      </w:tr>
    </w:tbl>
    <w:p/>
    <w:p>
      <w:pPr>
        <w:spacing w:before="40" w:after="80"/>
        <w:jc w:val="both"/>
      </w:pPr>
      <w:r>
        <w:rPr>
          <w:rFonts w:ascii="Times New Roman" w:hAnsi="Times New Roman"/>
          <w:b w:val="0"/>
          <w:i w:val="0"/>
          <w:sz w:val="24"/>
        </w:rPr>
        <w:t>The forward index enables O(1) key removal when a party is deleted or merged, without scanning the inverted index. The inverted index enables O(k) candidate retrieval for any incoming party.</w:t>
      </w:r>
    </w:p>
    <w:p>
      <w:pPr>
        <w:spacing w:before="40" w:after="80"/>
        <w:jc w:val="both"/>
      </w:pPr>
      <w:r>
        <w:rPr>
          <w:rFonts w:ascii="Times New Roman" w:hAnsi="Times New Roman"/>
          <w:b w:val="0"/>
          <w:i w:val="0"/>
          <w:sz w:val="24"/>
        </w:rPr>
        <w:t>The union of all matching buckets across all nine strategies' keys forms the candidate pool. This union-over-strategies approach maximizes recall: a candidate is surfaced if it shares *any* blocking key with the probe record, not all. Precision is controlled at the subsequent scoring stage.</w:t>
      </w:r>
    </w:p>
    <w:p>
      <w:pPr>
        <w:spacing w:before="200" w:after="80"/>
      </w:pPr>
      <w:r>
        <w:rPr>
          <w:rFonts w:ascii="Arial" w:hAnsi="Arial"/>
          <w:b/>
          <w:color w:val="1E1B4B"/>
          <w:sz w:val="22"/>
        </w:rPr>
        <w:t>II.D. Index Maintenance</w:t>
      </w:r>
    </w:p>
    <w:p>
      <w:pPr>
        <w:pStyle w:val="ListBullet"/>
        <w:spacing w:before="20" w:after="20"/>
      </w:pPr>
      <w:r>
        <w:rPr>
          <w:rFonts w:ascii="Times New Roman" w:hAnsi="Times New Roman"/>
          <w:sz w:val="24"/>
        </w:rPr>
        <w:t>`indexParty(Party p)`: Removes any existing keys for the party via the forward index, then regenerates and adds all keys.</w:t>
      </w:r>
    </w:p>
    <w:p>
      <w:pPr>
        <w:pStyle w:val="ListBullet"/>
        <w:spacing w:before="20" w:after="20"/>
      </w:pPr>
      <w:r>
        <w:rPr>
          <w:rFonts w:ascii="Times New Roman" w:hAnsi="Times New Roman"/>
          <w:sz w:val="24"/>
        </w:rPr>
        <w:t>`removeParty(String globalId)`: Uses the forward index to retrieve and delete all inverted index entries for the party in O(|keys|) time.</w:t>
      </w:r>
    </w:p>
    <w:p>
      <w:pPr>
        <w:pStyle w:val="ListBullet"/>
        <w:spacing w:before="20" w:after="20"/>
      </w:pPr>
      <w:r>
        <w:rPr>
          <w:rFonts w:ascii="Times New Roman" w:hAnsi="Times New Roman"/>
          <w:sz w:val="24"/>
        </w:rPr>
        <w:t>`rebuildIndexAsync()`: Asynchronous full rebuild from Neo4j golden records for post-bulk-import consistency.</w:t>
      </w:r>
    </w:p>
    <w:p>
      <w:pPr>
        <w:pStyle w:val="ListBullet"/>
        <w:spacing w:before="20" w:after="20"/>
      </w:pPr>
      <w:r>
        <w:rPr>
          <w:rFonts w:ascii="Times New Roman" w:hAnsi="Times New Roman"/>
          <w:sz w:val="24"/>
        </w:rPr>
        <w:t>`findCandidates(Party p)`: Returns the union of all bucket members minus the probe party itself.</w:t>
      </w:r>
    </w:p>
    <w:p>
      <w:pPr>
        <w:pStyle w:val="Heading3"/>
      </w:pPr>
      <w:r>
        <w:t>III. SELF-CALIBRATING FELLEGI-SUNTER PARAMETER ESTIMATION</w:t>
      </w:r>
    </w:p>
    <w:p>
      <w:pPr>
        <w:spacing w:before="200" w:after="80"/>
      </w:pPr>
      <w:r>
        <w:rPr>
          <w:rFonts w:ascii="Arial" w:hAnsi="Arial"/>
          <w:b/>
          <w:color w:val="1E1B4B"/>
          <w:sz w:val="22"/>
        </w:rPr>
        <w:t>III.A. The Fellegi-Sunter Model</w:t>
      </w:r>
    </w:p>
    <w:p>
      <w:pPr>
        <w:spacing w:before="40" w:after="80"/>
        <w:jc w:val="both"/>
      </w:pPr>
      <w:r>
        <w:rPr>
          <w:rFonts w:ascii="Times New Roman" w:hAnsi="Times New Roman"/>
          <w:b w:val="0"/>
          <w:i w:val="0"/>
          <w:sz w:val="24"/>
        </w:rPr>
        <w:t>The Fellegi-Sunter (1969) probabilistic record linkage framework assigns a match weight to each comparison vector γ = (γ₁, ..., γₖ) where γᵢ ∈ {0, 1} indicates agreement on attribute i. The log-likelihood ratio weight for attribute i is:</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w_i = γ_i × ln(m_i / u_i) + (1 - γ_i) × ln((1 - m_i) / (1 - u_i))</w:t>
            </w:r>
          </w:p>
        </w:tc>
      </w:tr>
    </w:tbl>
    <w:p/>
    <w:p>
      <w:pPr>
        <w:spacing w:before="40" w:after="80"/>
        <w:jc w:val="both"/>
      </w:pPr>
      <w:r>
        <w:rPr>
          <w:rFonts w:ascii="Times New Roman" w:hAnsi="Times New Roman"/>
          <w:b w:val="0"/>
          <w:i w:val="0"/>
          <w:sz w:val="24"/>
        </w:rPr>
        <w:t>where m_i = P(γ_i = 1 | true match) and u_i = P(γ_i = 1 | true non-match).</w:t>
      </w:r>
    </w:p>
    <w:p>
      <w:pPr>
        <w:spacing w:before="40" w:after="80"/>
        <w:jc w:val="both"/>
      </w:pPr>
      <w:r>
        <w:rPr>
          <w:rFonts w:ascii="Times New Roman" w:hAnsi="Times New Roman"/>
          <w:b w:val="0"/>
          <w:i w:val="0"/>
          <w:sz w:val="24"/>
        </w:rPr>
        <w:t>In all prior art systems, m and u are hardcoded. The present invention learns them automatically.</w:t>
      </w:r>
    </w:p>
    <w:p>
      <w:pPr>
        <w:spacing w:before="200" w:after="80"/>
      </w:pPr>
      <w:r>
        <w:rPr>
          <w:rFonts w:ascii="Arial" w:hAnsi="Arial"/>
          <w:b/>
          <w:color w:val="1E1B4B"/>
          <w:sz w:val="22"/>
        </w:rPr>
        <w:t>III.B. Expectation-Maximization Algorithm</w:t>
      </w:r>
    </w:p>
    <w:p>
      <w:pPr>
        <w:spacing w:before="40" w:after="80"/>
        <w:jc w:val="both"/>
      </w:pPr>
      <w:r>
        <w:rPr>
          <w:rFonts w:ascii="Times New Roman" w:hAnsi="Times New Roman"/>
          <w:b w:val="0"/>
          <w:i w:val="0"/>
          <w:sz w:val="24"/>
        </w:rPr>
        <w:t>The `EMAlgorithmService` implements unsupervised EM parameter estimation operating on ten attributes across four categories:</w:t>
      </w:r>
    </w:p>
    <w:p>
      <w:pPr>
        <w:spacing w:before="40" w:after="40"/>
        <w:jc w:val="both"/>
      </w:pPr>
      <w:r>
        <w:rPr>
          <w:rFonts w:ascii="Times New Roman" w:hAnsi="Times New Roman"/>
          <w:b/>
          <w:sz w:val="24"/>
        </w:rPr>
        <w:t>Name attributes (indices 0–1):</w:t>
      </w:r>
      <w:r>
        <w:rPr>
          <w:rFonts w:ascii="Times New Roman" w:hAnsi="Times New Roman"/>
          <w:sz w:val="24"/>
        </w:rPr>
        <w:t xml:space="preserve"> firstName (IDX_FIRST_NAME=0), lastName (IDX_LAST_NAME=1)</w:t>
      </w:r>
    </w:p>
    <w:p>
      <w:pPr>
        <w:spacing w:before="40" w:after="40"/>
        <w:jc w:val="both"/>
      </w:pPr>
      <w:r>
        <w:rPr>
          <w:rFonts w:ascii="Times New Roman" w:hAnsi="Times New Roman"/>
          <w:b/>
          <w:sz w:val="24"/>
        </w:rPr>
        <w:t>Temporal (index 2):</w:t>
      </w:r>
      <w:r>
        <w:rPr>
          <w:rFonts w:ascii="Times New Roman" w:hAnsi="Times New Roman"/>
          <w:sz w:val="24"/>
        </w:rPr>
        <w:t xml:space="preserve"> dateOfBirth (IDX_DOB=2)</w:t>
      </w:r>
    </w:p>
    <w:p>
      <w:pPr>
        <w:spacing w:before="40" w:after="40"/>
        <w:jc w:val="both"/>
      </w:pPr>
      <w:r>
        <w:rPr>
          <w:rFonts w:ascii="Times New Roman" w:hAnsi="Times New Roman"/>
          <w:b/>
          <w:sz w:val="24"/>
        </w:rPr>
        <w:t>Identifiers (index 3):</w:t>
      </w:r>
      <w:r>
        <w:rPr>
          <w:rFonts w:ascii="Times New Roman" w:hAnsi="Times New Roman"/>
          <w:sz w:val="24"/>
        </w:rPr>
        <w:t xml:space="preserve"> taxId/EIN/SSN (IDX_TAX_ID=3)</w:t>
      </w:r>
    </w:p>
    <w:p>
      <w:pPr>
        <w:spacing w:before="40" w:after="40"/>
        <w:jc w:val="both"/>
      </w:pPr>
      <w:r>
        <w:rPr>
          <w:rFonts w:ascii="Times New Roman" w:hAnsi="Times New Roman"/>
          <w:b/>
          <w:sz w:val="24"/>
        </w:rPr>
        <w:t>Contact (indices 4–5):</w:t>
      </w:r>
      <w:r>
        <w:rPr>
          <w:rFonts w:ascii="Times New Roman" w:hAnsi="Times New Roman"/>
          <w:sz w:val="24"/>
        </w:rPr>
        <w:t xml:space="preserve"> email (IDX_EMAIL=4), phone (IDX_PHONE=5)</w:t>
      </w:r>
    </w:p>
    <w:p>
      <w:pPr>
        <w:spacing w:before="40" w:after="40"/>
        <w:jc w:val="both"/>
      </w:pPr>
      <w:r>
        <w:rPr>
          <w:rFonts w:ascii="Times New Roman" w:hAnsi="Times New Roman"/>
          <w:b/>
          <w:sz w:val="24"/>
        </w:rPr>
        <w:t>Organization (index 6):</w:t>
      </w:r>
      <w:r>
        <w:rPr>
          <w:rFonts w:ascii="Times New Roman" w:hAnsi="Times New Roman"/>
          <w:sz w:val="24"/>
        </w:rPr>
        <w:t xml:space="preserve"> organizationName (IDX_ORG_NAME=6)</w:t>
      </w:r>
    </w:p>
    <w:p>
      <w:pPr>
        <w:spacing w:before="40" w:after="40"/>
        <w:jc w:val="both"/>
      </w:pPr>
      <w:r>
        <w:rPr>
          <w:rFonts w:ascii="Times New Roman" w:hAnsi="Times New Roman"/>
          <w:b/>
          <w:sz w:val="24"/>
        </w:rPr>
        <w:t>Geographic (index 7):</w:t>
      </w:r>
      <w:r>
        <w:rPr>
          <w:rFonts w:ascii="Times New Roman" w:hAnsi="Times New Roman"/>
          <w:sz w:val="24"/>
        </w:rPr>
        <w:t xml:space="preserve"> postalCode (IDX_POSTAL=7)</w:t>
      </w:r>
    </w:p>
    <w:p>
      <w:pPr>
        <w:spacing w:before="40" w:after="40"/>
        <w:jc w:val="both"/>
      </w:pPr>
      <w:r>
        <w:rPr>
          <w:rFonts w:ascii="Times New Roman" w:hAnsi="Times New Roman"/>
          <w:b/>
          <w:sz w:val="24"/>
        </w:rPr>
        <w:t>Phonetic (indices 8–9):</w:t>
      </w:r>
      <w:r>
        <w:rPr>
          <w:rFonts w:ascii="Times New Roman" w:hAnsi="Times New Roman"/>
          <w:sz w:val="24"/>
        </w:rPr>
        <w:t xml:space="preserve"> phonetic firstName (IDX_PHONETIC_FN=8), phonetic lastName (IDX_PHONETIC_LN=9)</w:t>
      </w:r>
    </w:p>
    <w:p>
      <w:pPr>
        <w:spacing w:before="40" w:after="40"/>
        <w:jc w:val="both"/>
      </w:pPr>
      <w:r>
        <w:rPr>
          <w:rFonts w:ascii="Times New Roman" w:hAnsi="Times New Roman"/>
          <w:b/>
          <w:i w:val="0"/>
          <w:sz w:val="24"/>
        </w:rPr>
        <w:t>Algorithm Steps:</w:t>
      </w:r>
    </w:p>
    <w:p>
      <w:pPr>
        <w:pStyle w:val="ListNumber"/>
        <w:spacing w:before="20" w:after="20"/>
      </w:pPr>
      <w:r>
        <w:rPr>
          <w:rFonts w:ascii="Times New Roman" w:hAnsi="Times New Roman"/>
          <w:sz w:val="24"/>
        </w:rPr>
        <w:t>Sampling: N random pairs are drawn from Neo4j golden party records using reservoir sampling. Default N=5,000 pairs.</w:t>
      </w:r>
    </w:p>
    <w:p>
      <w:pPr>
        <w:pStyle w:val="ListNumber"/>
        <w:spacing w:before="20" w:after="20"/>
      </w:pPr>
      <w:r>
        <w:rPr>
          <w:rFonts w:ascii="Times New Roman" w:hAnsi="Times New Roman"/>
          <w:sz w:val="24"/>
        </w:rPr>
        <w:t>Feature vector computation: For each pair (A, B), a 10-dimensional binary agreement vector γ is computed. Agreement is defined per attribute: exact match for identifiers, Jaro-Winkler ≥ 0.85 for names, phonetic match for phonetic attributes.</w:t>
      </w:r>
    </w:p>
    <w:p>
      <w:pPr>
        <w:pStyle w:val="ListNumber"/>
        <w:spacing w:before="20" w:after="20"/>
      </w:pPr>
      <w:r>
        <w:rPr>
          <w:rFonts w:ascii="Times New Roman" w:hAnsi="Times New Roman"/>
          <w:sz w:val="24"/>
        </w:rPr>
        <w:t>Initialization: m and u vectors are initialized to domain-expert prior values:</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Default m (P(agree | match)):    [0.95, 0.92, 0.88, 0.99, 0.85, 0.82, 0.90, 0.75, 0.89, 0.86]</w:t>
              <w:br/>
              <w:t>Default u (P(agree | non-match)): [0.15, 0.10, 0.02, 0.01, 0.03, 0.04, 0.08, 0.12, 0.14, 0.09]</w:t>
            </w:r>
          </w:p>
        </w:tc>
      </w:tr>
    </w:tbl>
    <w:p/>
    <w:p>
      <w:pPr>
        <w:pStyle w:val="ListNumber"/>
        <w:spacing w:before="20" w:after="20"/>
      </w:pPr>
      <w:r>
        <w:rPr>
          <w:rFonts w:ascii="Times New Roman" w:hAnsi="Times New Roman"/>
          <w:sz w:val="24"/>
        </w:rPr>
        <w:t>E-Step: For each pair i, compute the posterior probability that it is a true match:</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log_match_i = ln(π) + Σ_k [γ_ik × ln(m_k) + (1-γ_ik) × ln(1-m_k)]</w:t>
              <w:br/>
              <w:t>log_nomatch_i = ln(1-π) + Σ_k [γ_ik × ln(u_k) + (1-γ_ik) × ln(1-u_k)]</w:t>
              <w:br/>
              <w:t>maxLog = max(log_match_i, log_nomatch_i)</w:t>
              <w:br/>
              <w:t>P(match_i) = exp(log_match_i - maxLog) / [exp(log_match_i - maxLog) + exp(log_nomatch_i - maxLog)]</w:t>
            </w:r>
          </w:p>
        </w:tc>
      </w:tr>
    </w:tbl>
    <w:p/>
    <w:p>
      <w:pPr>
        <w:spacing w:before="40" w:after="80"/>
        <w:jc w:val="both"/>
      </w:pPr>
      <w:r>
        <w:rPr>
          <w:rFonts w:ascii="Times New Roman" w:hAnsi="Times New Roman"/>
          <w:b w:val="0"/>
          <w:i w:val="0"/>
          <w:sz w:val="24"/>
        </w:rPr>
        <w:t>The `maxLog` offset ensures numerical stability in log-space computation.</w:t>
      </w:r>
    </w:p>
    <w:p>
      <w:pPr>
        <w:pStyle w:val="ListNumber"/>
        <w:spacing w:before="20" w:after="20"/>
      </w:pPr>
      <w:r>
        <w:rPr>
          <w:rFonts w:ascii="Times New Roman" w:hAnsi="Times New Roman"/>
          <w:sz w:val="24"/>
        </w:rPr>
        <w:t>M-Step: Update m, u, and π from posterior-weighted observations:</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m_k_new = Σ_i [P(match_i) × γ_ik] / Σ_i [P(match_i)]</w:t>
              <w:br/>
              <w:t>u_k_new = Σ_i [(1 - P(match_i)) × γ_ik] / Σ_i [(1 - P(match_i))]</w:t>
              <w:br/>
              <w:t>π_new = mean(P(match_i))</w:t>
            </w:r>
          </w:p>
        </w:tc>
      </w:tr>
    </w:tbl>
    <w:p/>
    <w:p>
      <w:pPr>
        <w:pStyle w:val="ListNumber"/>
        <w:spacing w:before="20" w:after="20"/>
      </w:pPr>
      <w:r>
        <w:rPr>
          <w:rFonts w:ascii="Times New Roman" w:hAnsi="Times New Roman"/>
          <w:sz w:val="24"/>
        </w:rPr>
        <w:t>Convergence: Repeat E and M steps until `‖m_new - m_old‖₁ + ‖u_new - u_old‖₁ &lt; ε` (ε = 0.001) or maximum iterations (default 100) is reached.</w:t>
      </w:r>
    </w:p>
    <w:p>
      <w:pPr>
        <w:pStyle w:val="ListNumber"/>
        <w:spacing w:before="20" w:after="20"/>
      </w:pPr>
      <w:r>
        <w:rPr>
          <w:rFonts w:ascii="Times New Roman" w:hAnsi="Times New Roman"/>
          <w:sz w:val="24"/>
        </w:rPr>
        <w:t>Parameter Storage: Results are stored as `MUParameters(double[] m, double[] u, double pi, String partyType, LocalDateTime learnedAt)` in a per-party-type concurrent hash map.</w:t>
      </w:r>
    </w:p>
    <w:p>
      <w:pPr>
        <w:pStyle w:val="ListNumber"/>
        <w:spacing w:before="20" w:after="20"/>
      </w:pPr>
      <w:r>
        <w:rPr>
          <w:rFonts w:ascii="Times New Roman" w:hAnsi="Times New Roman"/>
          <w:sz w:val="24"/>
        </w:rPr>
        <w:t>Scheduled Re-estimation: The `@Scheduled(cron = "0 0 2 * * *")` annotation triggers nightly re-estimation at 02:00 UTC for all party types with sufficient data.</w:t>
      </w:r>
    </w:p>
    <w:p>
      <w:pPr>
        <w:spacing w:before="200" w:after="80"/>
      </w:pPr>
      <w:r>
        <w:rPr>
          <w:rFonts w:ascii="Arial" w:hAnsi="Arial"/>
          <w:b/>
          <w:color w:val="1E1B4B"/>
          <w:sz w:val="22"/>
        </w:rPr>
        <w:t>III.C. Sanity Guard</w:t>
      </w:r>
    </w:p>
    <w:p>
      <w:pPr>
        <w:spacing w:before="40" w:after="80"/>
        <w:jc w:val="both"/>
      </w:pPr>
      <w:r>
        <w:rPr>
          <w:rFonts w:ascii="Times New Roman" w:hAnsi="Times New Roman"/>
          <w:b w:val="0"/>
          <w:i w:val="0"/>
          <w:sz w:val="24"/>
        </w:rPr>
        <w:t>Before accepting EM-estimated parameters in the scoring pipeline, the system applies the guard:</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if (m &gt; u &amp;&amp; m &gt; 0.5 &amp;&amp; u &lt; 0.5) return new double[]{m, u};</w:t>
              <w:br/>
              <w:t>return prior;  // revert to prior if EM values unsensible</w:t>
            </w:r>
          </w:p>
        </w:tc>
      </w:tr>
    </w:tbl>
    <w:p/>
    <w:p>
      <w:pPr>
        <w:spacing w:before="40" w:after="80"/>
        <w:jc w:val="both"/>
      </w:pPr>
      <w:r>
        <w:rPr>
          <w:rFonts w:ascii="Times New Roman" w:hAnsi="Times New Roman"/>
          <w:b w:val="0"/>
          <w:i w:val="0"/>
          <w:sz w:val="24"/>
        </w:rPr>
        <w:t>This prevents statistically aberrant EM results (e.g., from sparse data or early iterations) from degrading match quality.</w:t>
      </w:r>
    </w:p>
    <w:p>
      <w:pPr>
        <w:pStyle w:val="Heading3"/>
      </w:pPr>
      <w:r>
        <w:t>IV. THREE-STAGE CASCADING MATCH PIPELINE</w:t>
      </w:r>
    </w:p>
    <w:p>
      <w:pPr>
        <w:spacing w:before="200" w:after="80"/>
      </w:pPr>
      <w:r>
        <w:rPr>
          <w:rFonts w:ascii="Arial" w:hAnsi="Arial"/>
          <w:b/>
          <w:color w:val="1E1B4B"/>
          <w:sz w:val="22"/>
        </w:rPr>
        <w:t>IV.A. Architecture</w:t>
      </w:r>
    </w:p>
    <w:p>
      <w:pPr>
        <w:spacing w:before="40" w:after="80"/>
        <w:jc w:val="both"/>
      </w:pPr>
      <w:r>
        <w:rPr>
          <w:rFonts w:ascii="Times New Roman" w:hAnsi="Times New Roman"/>
          <w:b w:val="0"/>
          <w:i w:val="0"/>
          <w:sz w:val="24"/>
        </w:rPr>
        <w:t>`MatchingEngine.scoreAgainstPool()` applies three stages in sequence:</w:t>
      </w:r>
    </w:p>
    <w:p>
      <w:pPr>
        <w:spacing w:before="40" w:after="40"/>
        <w:jc w:val="both"/>
      </w:pPr>
      <w:r>
        <w:rPr>
          <w:rFonts w:ascii="Times New Roman" w:hAnsi="Times New Roman"/>
          <w:b/>
          <w:i w:val="0"/>
          <w:sz w:val="24"/>
        </w:rPr>
        <w:t>Stage 1 — Deterministic Matching:</w:t>
      </w:r>
    </w:p>
    <w:p>
      <w:pPr>
        <w:spacing w:before="40" w:after="80"/>
        <w:jc w:val="both"/>
      </w:pPr>
      <w:r>
        <w:rPr>
          <w:rFonts w:ascii="Times New Roman" w:hAnsi="Times New Roman"/>
          <w:b w:val="0"/>
          <w:i w:val="0"/>
          <w:sz w:val="24"/>
        </w:rPr>
        <w:t>Critical unique identifiers are compared first: SSN, Tax ID, EIN, DUNS number, LEI, passport number, and national ID. If any identifier matches exactly between the probe and a candidate, the score is set to 1.0 (definite match) and deterministic method is recorded. An additional deterministic rule fires when the probe and candidate share both `sourceSystem` and `sourceSystemId`, preventing duplicate ingest from the same source.</w:t>
      </w:r>
    </w:p>
    <w:p>
      <w:pPr>
        <w:spacing w:before="40" w:after="40"/>
        <w:jc w:val="both"/>
      </w:pPr>
      <w:r>
        <w:rPr>
          <w:rFonts w:ascii="Times New Roman" w:hAnsi="Times New Roman"/>
          <w:b/>
          <w:i w:val="0"/>
          <w:sz w:val="24"/>
        </w:rPr>
        <w:t>Stage 2 — Probabilistic Fellegi-Sunter Scoring:</w:t>
      </w:r>
    </w:p>
    <w:p>
      <w:pPr>
        <w:spacing w:before="40" w:after="80"/>
        <w:jc w:val="both"/>
      </w:pPr>
      <w:r>
        <w:rPr>
          <w:rFonts w:ascii="Times New Roman" w:hAnsi="Times New Roman"/>
          <w:b w:val="0"/>
          <w:i w:val="0"/>
          <w:sz w:val="24"/>
        </w:rPr>
        <w:t>`ProbabilisticMatcher.scoreIndividual()` or `scoreOrganization()` is invoked for non-deterministic candidates. The scorer applies 20+ similarity algorithms across name, date-of-birth, contact, and identifier attributes, maps each comparison outcome to a Fellegi-Sunter log-likelihood contribution, and normalizes the total to [0, 1].</w:t>
      </w:r>
    </w:p>
    <w:p>
      <w:pPr>
        <w:spacing w:before="40" w:after="80"/>
        <w:jc w:val="both"/>
      </w:pPr>
      <w:r>
        <w:rPr>
          <w:rFonts w:ascii="Times New Roman" w:hAnsi="Times New Roman"/>
          <w:b w:val="0"/>
          <w:i w:val="0"/>
          <w:sz w:val="24"/>
        </w:rPr>
        <w:t>The 20+ similarity algorithms include:</w:t>
      </w:r>
    </w:p>
    <w:p>
      <w:pPr>
        <w:pStyle w:val="ListBullet"/>
        <w:spacing w:before="20" w:after="20"/>
      </w:pPr>
      <w:r>
        <w:rPr>
          <w:rFonts w:ascii="Times New Roman" w:hAnsi="Times New Roman"/>
          <w:sz w:val="24"/>
        </w:rPr>
        <w:t>Jaro-Winkler similarity for first name, last name, and organization name</w:t>
      </w:r>
    </w:p>
    <w:p>
      <w:pPr>
        <w:pStyle w:val="ListBullet"/>
        <w:spacing w:before="20" w:after="20"/>
      </w:pPr>
      <w:r>
        <w:rPr>
          <w:rFonts w:ascii="Times New Roman" w:hAnsi="Times New Roman"/>
          <w:sz w:val="24"/>
        </w:rPr>
        <w:t>Token Sort Ratio (alphabetically sorted tokens before JW) for word-order invariance</w:t>
      </w:r>
    </w:p>
    <w:p>
      <w:pPr>
        <w:pStyle w:val="ListBullet"/>
        <w:spacing w:before="20" w:after="20"/>
      </w:pPr>
      <w:r>
        <w:rPr>
          <w:rFonts w:ascii="Times New Roman" w:hAnsi="Times New Roman"/>
          <w:sz w:val="24"/>
        </w:rPr>
        <w:t>Token Set Ratio (Jaccard over token sets + JW) for abbreviation handling</w:t>
      </w:r>
    </w:p>
    <w:p>
      <w:pPr>
        <w:pStyle w:val="ListBullet"/>
        <w:spacing w:before="20" w:after="20"/>
      </w:pPr>
      <w:r>
        <w:rPr>
          <w:rFonts w:ascii="Times New Roman" w:hAnsi="Times New Roman"/>
          <w:sz w:val="24"/>
        </w:rPr>
        <w:t>Bigram Jaccard similarity (2-gram character overlap)</w:t>
      </w:r>
    </w:p>
    <w:p>
      <w:pPr>
        <w:pStyle w:val="ListBullet"/>
        <w:spacing w:before="20" w:after="20"/>
      </w:pPr>
      <w:r>
        <w:rPr>
          <w:rFonts w:ascii="Times New Roman" w:hAnsi="Times New Roman"/>
          <w:sz w:val="24"/>
        </w:rPr>
        <w:t>Trigram Jaccard similarity (3-gram character overlap)</w:t>
      </w:r>
    </w:p>
    <w:p>
      <w:pPr>
        <w:pStyle w:val="ListBullet"/>
        <w:spacing w:before="20" w:after="20"/>
      </w:pPr>
      <w:r>
        <w:rPr>
          <w:rFonts w:ascii="Times New Roman" w:hAnsi="Times New Roman"/>
          <w:sz w:val="24"/>
        </w:rPr>
        <w:t>Composite name similarity (max of multiple metrics with phonetic boost)</w:t>
      </w:r>
    </w:p>
    <w:p>
      <w:pPr>
        <w:pStyle w:val="ListBullet"/>
        <w:spacing w:before="20" w:after="20"/>
      </w:pPr>
      <w:r>
        <w:rPr>
          <w:rFonts w:ascii="Times New Roman" w:hAnsi="Times New Roman"/>
          <w:sz w:val="24"/>
        </w:rPr>
        <w:t>Damerau-Levenshtein / Optimal String Alignment distance (four operations: substitution, insertion, deletion, transposition)</w:t>
      </w:r>
    </w:p>
    <w:p>
      <w:pPr>
        <w:pStyle w:val="ListBullet"/>
        <w:spacing w:before="20" w:after="20"/>
      </w:pPr>
      <w:r>
        <w:rPr>
          <w:rFonts w:ascii="Times New Roman" w:hAnsi="Times New Roman"/>
          <w:sz w:val="24"/>
        </w:rPr>
        <w:t>TF-IDF cosine similarity over character n-gram vectors</w:t>
      </w:r>
    </w:p>
    <w:p>
      <w:pPr>
        <w:pStyle w:val="ListBullet"/>
        <w:spacing w:before="20" w:after="20"/>
      </w:pPr>
      <w:r>
        <w:rPr>
          <w:rFonts w:ascii="Times New Roman" w:hAnsi="Times New Roman"/>
          <w:sz w:val="24"/>
        </w:rPr>
        <w:t>Double Metaphone phonetic encoding</w:t>
      </w:r>
    </w:p>
    <w:p>
      <w:pPr>
        <w:pStyle w:val="ListBullet"/>
        <w:spacing w:before="20" w:after="20"/>
      </w:pPr>
      <w:r>
        <w:rPr>
          <w:rFonts w:ascii="Times New Roman" w:hAnsi="Times New Roman"/>
          <w:sz w:val="24"/>
        </w:rPr>
        <w:t>Nickname equivalence lookup (90+ name variant groups)</w:t>
      </w:r>
    </w:p>
    <w:p>
      <w:pPr>
        <w:spacing w:before="40" w:after="40"/>
        <w:jc w:val="both"/>
      </w:pPr>
      <w:r>
        <w:rPr>
          <w:rFonts w:ascii="Times New Roman" w:hAnsi="Times New Roman"/>
          <w:b/>
          <w:i w:val="0"/>
          <w:sz w:val="24"/>
        </w:rPr>
        <w:t>Stage 3 — AI-Enhanced Disambiguation (Novel):</w:t>
      </w:r>
    </w:p>
    <w:p>
      <w:pPr>
        <w:spacing w:before="40" w:after="80"/>
        <w:jc w:val="both"/>
      </w:pPr>
      <w:r>
        <w:rPr>
          <w:rFonts w:ascii="Times New Roman" w:hAnsi="Times New Roman"/>
          <w:b w:val="0"/>
          <w:i w:val="0"/>
          <w:sz w:val="24"/>
        </w:rPr>
        <w:t>If the probabilistic score falls in the uncertain range [0.5, 0.9] AND the active matching rule has `useAIEnhancement = true`, the system calls `AIEnhancedMatcher.score(partyA, partyB)`. The matcher constructs a structured prompt containing both records' key attributes and requests:</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SCORE:&lt;0.00-1.00&gt;|REASON:&lt;brief explanation&gt;</w:t>
            </w:r>
          </w:p>
        </w:tc>
      </w:tr>
    </w:tbl>
    <w:p/>
    <w:p>
      <w:pPr>
        <w:spacing w:before="40" w:after="80"/>
        <w:jc w:val="both"/>
      </w:pPr>
      <w:r>
        <w:rPr>
          <w:rFonts w:ascii="Times New Roman" w:hAnsi="Times New Roman"/>
          <w:b w:val="0"/>
          <w:i w:val="0"/>
          <w:sz w:val="24"/>
        </w:rPr>
        <w:t>The final score is a weighted blend: `0.6 × probabilistic_score + 0.4 × ai_score`. The method is recorded as `AI_ENHANCED`.</w:t>
      </w:r>
    </w:p>
    <w:p>
      <w:pPr>
        <w:spacing w:before="200" w:after="80"/>
      </w:pPr>
      <w:r>
        <w:rPr>
          <w:rFonts w:ascii="Arial" w:hAnsi="Arial"/>
          <w:b/>
          <w:color w:val="1E1B4B"/>
          <w:sz w:val="22"/>
        </w:rPr>
        <w:t>IV.B. Threshold-Driven Action Routing</w:t>
      </w:r>
    </w:p>
    <w:p>
      <w:pPr>
        <w:spacing w:before="40" w:after="80"/>
        <w:jc w:val="both"/>
      </w:pPr>
      <w:r>
        <w:rPr>
          <w:rFonts w:ascii="Times New Roman" w:hAnsi="Times New Roman"/>
          <w:b w:val="0"/>
          <w:i w:val="0"/>
          <w:sz w:val="24"/>
        </w:rPr>
        <w:t>The top-scoring candidate and its score determine the ingest action:</w:t>
      </w:r>
    </w:p>
    <w:p>
      <w:pPr>
        <w:spacing w:before="40" w:after="80"/>
        <w:jc w:val="both"/>
      </w:pPr>
      <w:r>
        <w:rPr>
          <w:rFonts w:ascii="Times New Roman" w:hAnsi="Times New Roman"/>
          <w:b w:val="0"/>
          <w:i w:val="0"/>
          <w:sz w:val="24"/>
        </w:rPr>
        <w:t>| Score Range | Action | Meaning |</w:t>
      </w:r>
    </w:p>
    <w:p>
      <w:pPr>
        <w:spacing w:before="40" w:after="80"/>
        <w:jc w:val="both"/>
      </w:pPr>
      <w:r>
        <w:rPr>
          <w:rFonts w:ascii="Times New Roman" w:hAnsi="Times New Roman"/>
          <w:b w:val="0"/>
          <w:i w:val="0"/>
          <w:sz w:val="24"/>
        </w:rPr>
        <w:t>|---|---|---|</w:t>
      </w:r>
    </w:p>
    <w:p>
      <w:pPr>
        <w:spacing w:before="40" w:after="80"/>
        <w:jc w:val="both"/>
      </w:pPr>
      <w:r>
        <w:rPr>
          <w:rFonts w:ascii="Times New Roman" w:hAnsi="Times New Roman"/>
          <w:b w:val="0"/>
          <w:i w:val="0"/>
          <w:sz w:val="24"/>
        </w:rPr>
        <w:t>| ≥ 0.95 | `AUTO_LINK` | Definite match — link to candidate's golden cluster |</w:t>
      </w:r>
    </w:p>
    <w:p>
      <w:pPr>
        <w:spacing w:before="40" w:after="80"/>
        <w:jc w:val="both"/>
      </w:pPr>
      <w:r>
        <w:rPr>
          <w:rFonts w:ascii="Times New Roman" w:hAnsi="Times New Roman"/>
          <w:b w:val="0"/>
          <w:i w:val="0"/>
          <w:sz w:val="24"/>
        </w:rPr>
        <w:t>| 0.75 – 0.94 | `SEND_TO_STEWARD` | Probable match — human review required |</w:t>
      </w:r>
    </w:p>
    <w:p>
      <w:pPr>
        <w:spacing w:before="40" w:after="80"/>
        <w:jc w:val="both"/>
      </w:pPr>
      <w:r>
        <w:rPr>
          <w:rFonts w:ascii="Times New Roman" w:hAnsi="Times New Roman"/>
          <w:b w:val="0"/>
          <w:i w:val="0"/>
          <w:sz w:val="24"/>
        </w:rPr>
        <w:t>| &lt; 0.75 | `CREATE_NEW` | No match — new independent entity |</w:t>
      </w:r>
    </w:p>
    <w:p>
      <w:pPr>
        <w:spacing w:before="40" w:after="80"/>
        <w:jc w:val="both"/>
      </w:pPr>
      <w:r>
        <w:rPr>
          <w:rFonts w:ascii="Times New Roman" w:hAnsi="Times New Roman"/>
          <w:b w:val="0"/>
          <w:i w:val="0"/>
          <w:sz w:val="24"/>
        </w:rPr>
        <w:t>Thresholds are configurable per `MatchingRule` entity, allowing different sensitivity for different entity types or source systems.</w:t>
      </w:r>
    </w:p>
    <w:p>
      <w:pPr>
        <w:pStyle w:val="Heading3"/>
      </w:pPr>
      <w:r>
        <w:t>V. PROVISIONAL GOLDEN IDENTITY MANAGEMENT (NOVEL INVENTION)</w:t>
      </w:r>
    </w:p>
    <w:p>
      <w:pPr>
        <w:spacing w:before="200" w:after="80"/>
      </w:pPr>
      <w:r>
        <w:rPr>
          <w:rFonts w:ascii="Arial" w:hAnsi="Arial"/>
          <w:b/>
          <w:color w:val="1E1B4B"/>
          <w:sz w:val="22"/>
        </w:rPr>
        <w:t>V.A. The Null Golden State Problem</w:t>
      </w:r>
    </w:p>
    <w:p>
      <w:pPr>
        <w:spacing w:before="40" w:after="80"/>
        <w:jc w:val="both"/>
      </w:pPr>
      <w:r>
        <w:rPr>
          <w:rFonts w:ascii="Times New Roman" w:hAnsi="Times New Roman"/>
          <w:b w:val="0"/>
          <w:i w:val="0"/>
          <w:sz w:val="24"/>
        </w:rPr>
        <w:t>In all prior art MDM systems, a party record pending steward review exists in a null golden state — it has been ingested but has no golden identifier. During review (which may take days to weeks), the record is invisible to:</w:t>
      </w:r>
    </w:p>
    <w:p>
      <w:pPr>
        <w:pStyle w:val="ListBullet"/>
        <w:spacing w:before="20" w:after="20"/>
      </w:pPr>
      <w:r>
        <w:rPr>
          <w:rFonts w:ascii="Times New Roman" w:hAnsi="Times New Roman"/>
          <w:sz w:val="24"/>
        </w:rPr>
        <w:t>Downstream applications querying by golden ID</w:t>
      </w:r>
    </w:p>
    <w:p>
      <w:pPr>
        <w:pStyle w:val="ListBullet"/>
        <w:spacing w:before="20" w:after="20"/>
      </w:pPr>
      <w:r>
        <w:rPr>
          <w:rFonts w:ascii="Times New Roman" w:hAnsi="Times New Roman"/>
          <w:sz w:val="24"/>
        </w:rPr>
        <w:t>The survivorship engine (cannot compute a golden view without a golden ID)</w:t>
      </w:r>
    </w:p>
    <w:p>
      <w:pPr>
        <w:pStyle w:val="ListBullet"/>
        <w:spacing w:before="20" w:after="20"/>
      </w:pPr>
      <w:r>
        <w:rPr>
          <w:rFonts w:ascii="Times New Roman" w:hAnsi="Times New Roman"/>
          <w:sz w:val="24"/>
        </w:rPr>
        <w:t>The timeline service (events indexed by golden ID cannot be recorded)</w:t>
      </w:r>
    </w:p>
    <w:p>
      <w:pPr>
        <w:pStyle w:val="ListBullet"/>
        <w:spacing w:before="20" w:after="20"/>
      </w:pPr>
      <w:r>
        <w:rPr>
          <w:rFonts w:ascii="Times New Roman" w:hAnsi="Times New Roman"/>
          <w:sz w:val="24"/>
        </w:rPr>
        <w:t>The blocking index (cannot be found as a candidate for future matches)</w:t>
      </w:r>
    </w:p>
    <w:p>
      <w:pPr>
        <w:spacing w:before="40" w:after="80"/>
        <w:jc w:val="both"/>
      </w:pPr>
      <w:r>
        <w:rPr>
          <w:rFonts w:ascii="Times New Roman" w:hAnsi="Times New Roman"/>
          <w:b w:val="0"/>
          <w:i w:val="0"/>
          <w:sz w:val="24"/>
        </w:rPr>
        <w:t>This null state violates the core MDM guarantee of universal entity availability.</w:t>
      </w:r>
    </w:p>
    <w:p>
      <w:pPr>
        <w:spacing w:before="200" w:after="80"/>
      </w:pPr>
      <w:r>
        <w:rPr>
          <w:rFonts w:ascii="Arial" w:hAnsi="Arial"/>
          <w:b/>
          <w:color w:val="1E1B4B"/>
          <w:sz w:val="22"/>
        </w:rPr>
        <w:t>V.B. The Provisional Golden Identity</w:t>
      </w:r>
    </w:p>
    <w:p>
      <w:pPr>
        <w:spacing w:before="40" w:after="80"/>
        <w:jc w:val="both"/>
      </w:pPr>
      <w:r>
        <w:rPr>
          <w:rFonts w:ascii="Times New Roman" w:hAnsi="Times New Roman"/>
          <w:sz w:val="24"/>
        </w:rPr>
        <w:t xml:space="preserve">The present invention eliminates the null golden state entirely through the </w:t>
      </w:r>
      <w:r>
        <w:rPr>
          <w:rFonts w:ascii="Times New Roman" w:hAnsi="Times New Roman"/>
          <w:b/>
          <w:sz w:val="24"/>
        </w:rPr>
        <w:t>Provisional Golden Identity</w:t>
      </w:r>
      <w:r>
        <w:rPr>
          <w:rFonts w:ascii="Times New Roman" w:hAnsi="Times New Roman"/>
          <w:sz w:val="24"/>
        </w:rPr>
        <w:t xml:space="preserve"> pattern:</w:t>
      </w:r>
    </w:p>
    <w:p>
      <w:pPr>
        <w:spacing w:before="40" w:after="40"/>
        <w:jc w:val="both"/>
      </w:pPr>
      <w:r>
        <w:rPr>
          <w:rFonts w:ascii="Times New Roman" w:hAnsi="Times New Roman"/>
          <w:b/>
          <w:i w:val="0"/>
          <w:sz w:val="24"/>
        </w:rPr>
        <w:t>For SEND_TO_STEWARD matches (score 0.75–0.94):</w:t>
      </w:r>
    </w:p>
    <w:p>
      <w:pPr>
        <w:pStyle w:val="ListNumber"/>
        <w:spacing w:before="20" w:after="20"/>
      </w:pPr>
      <w:r>
        <w:rPr>
          <w:rFonts w:ascii="Times New Roman" w:hAnsi="Times New Roman"/>
          <w:sz w:val="24"/>
        </w:rPr>
        <w:t>A provisional golden ID is generated: `newGoldenId = generateGoldenId()`.</w:t>
      </w:r>
    </w:p>
    <w:p>
      <w:pPr>
        <w:pStyle w:val="ListNumber"/>
        <w:spacing w:before="20" w:after="20"/>
      </w:pPr>
      <w:r>
        <w:rPr>
          <w:rFonts w:ascii="Times New Roman" w:hAnsi="Times New Roman"/>
          <w:sz w:val="24"/>
        </w:rPr>
        <w:t>The incoming party is assigned this provisional ID: `incoming.setGoldenRecordId(provisionalGoldenId)`.</w:t>
      </w:r>
    </w:p>
    <w:p>
      <w:pPr>
        <w:pStyle w:val="ListNumber"/>
        <w:spacing w:before="20" w:after="20"/>
      </w:pPr>
      <w:r>
        <w:rPr>
          <w:rFonts w:ascii="Times New Roman" w:hAnsi="Times New Roman"/>
          <w:sz w:val="24"/>
        </w:rPr>
        <w:t>The party is saved to Neo4j with `isGolden = false` (source record designation).</w:t>
      </w:r>
    </w:p>
    <w:p>
      <w:pPr>
        <w:pStyle w:val="ListNumber"/>
        <w:spacing w:before="20" w:after="20"/>
      </w:pPr>
      <w:r>
        <w:rPr>
          <w:rFonts w:ascii="Times New Roman" w:hAnsi="Times New Roman"/>
          <w:sz w:val="24"/>
        </w:rPr>
        <w:t>`GoldenRecordService.createNewGoldenRecord(provisionalGoldenId, List.of(saved))` is immediately called, creating a complete golden record with survivorship rules applied.</w:t>
      </w:r>
    </w:p>
    <w:p>
      <w:pPr>
        <w:pStyle w:val="ListNumber"/>
        <w:spacing w:before="20" w:after="20"/>
      </w:pPr>
      <w:r>
        <w:rPr>
          <w:rFonts w:ascii="Times New Roman" w:hAnsi="Times New Roman"/>
          <w:sz w:val="24"/>
        </w:rPr>
        <w:t>The provisional golden party is added to the blocking index: `indexParty(saved)`.</w:t>
      </w:r>
    </w:p>
    <w:p>
      <w:pPr>
        <w:pStyle w:val="ListNumber"/>
        <w:spacing w:before="20" w:after="20"/>
      </w:pPr>
      <w:r>
        <w:rPr>
          <w:rFonts w:ascii="Times New Roman" w:hAnsi="Times New Roman"/>
          <w:sz w:val="24"/>
        </w:rPr>
        <w:t>A steward task is created with `candidateIds = [existingCandidateGoldenId, provisionalGoldenId]`.</w:t>
      </w:r>
    </w:p>
    <w:p>
      <w:pPr>
        <w:spacing w:before="40" w:after="40"/>
        <w:jc w:val="both"/>
      </w:pPr>
      <w:r>
        <w:rPr>
          <w:rFonts w:ascii="Times New Roman" w:hAnsi="Times New Roman"/>
          <w:b/>
          <w:i w:val="0"/>
          <w:sz w:val="24"/>
        </w:rPr>
        <w:t>During the review period:</w:t>
      </w:r>
    </w:p>
    <w:p>
      <w:pPr>
        <w:spacing w:before="40" w:after="80"/>
        <w:jc w:val="both"/>
      </w:pPr>
      <w:r>
        <w:rPr>
          <w:rFonts w:ascii="Times New Roman" w:hAnsi="Times New Roman"/>
          <w:b w:val="0"/>
          <w:i w:val="0"/>
          <w:sz w:val="24"/>
        </w:rPr>
        <w:t>The provisional record is fully available: it has a golden ID, a golden record, appears in blocking index candidates, and receives timeline events.</w:t>
      </w:r>
    </w:p>
    <w:p>
      <w:pPr>
        <w:spacing w:before="40" w:after="40"/>
        <w:jc w:val="both"/>
      </w:pPr>
      <w:r>
        <w:rPr>
          <w:rFonts w:ascii="Times New Roman" w:hAnsi="Times New Roman"/>
          <w:b/>
          <w:i w:val="0"/>
          <w:sz w:val="24"/>
        </w:rPr>
        <w:t>Upon steward APPROVE_MERGE:</w:t>
      </w:r>
    </w:p>
    <w:p>
      <w:pPr>
        <w:spacing w:before="40" w:after="80"/>
        <w:jc w:val="both"/>
      </w:pPr>
      <w:r>
        <w:rPr>
          <w:rFonts w:ascii="Times New Roman" w:hAnsi="Times New Roman"/>
          <w:b w:val="0"/>
          <w:i w:val="0"/>
          <w:sz w:val="24"/>
        </w:rPr>
        <w:t>`StewardService.executeResolution()` calls `mergeGoldenRecords(survivingGoldenId, provisionalGoldenId)`. The party is re-pointed to the surviving golden ID. The provisional golden ID is retired.</w:t>
      </w:r>
    </w:p>
    <w:p>
      <w:pPr>
        <w:spacing w:before="40" w:after="40"/>
        <w:jc w:val="both"/>
      </w:pPr>
      <w:r>
        <w:rPr>
          <w:rFonts w:ascii="Times New Roman" w:hAnsi="Times New Roman"/>
          <w:b/>
          <w:i w:val="0"/>
          <w:sz w:val="24"/>
        </w:rPr>
        <w:t>Upon steward REJECT_MERGE:</w:t>
      </w:r>
    </w:p>
    <w:p>
      <w:pPr>
        <w:spacing w:before="40" w:after="80"/>
        <w:jc w:val="both"/>
      </w:pPr>
      <w:r>
        <w:rPr>
          <w:rFonts w:ascii="Times New Roman" w:hAnsi="Times New Roman"/>
          <w:b w:val="0"/>
          <w:i w:val="0"/>
          <w:sz w:val="24"/>
        </w:rPr>
        <w:t>The provisional golden ID becomes the permanent golden ID. The record remains its own independent entity. No additional action required.</w:t>
      </w:r>
    </w:p>
    <w:p>
      <w:pPr>
        <w:spacing w:before="40" w:after="80"/>
        <w:jc w:val="both"/>
      </w:pPr>
      <w:r>
        <w:rPr>
          <w:rFonts w:ascii="Times New Roman" w:hAnsi="Times New Roman"/>
          <w:sz w:val="24"/>
        </w:rPr>
        <w:t xml:space="preserve">This design guarantees: </w:t>
      </w:r>
      <w:r>
        <w:rPr>
          <w:rFonts w:ascii="Times New Roman" w:hAnsi="Times New Roman"/>
          <w:b/>
          <w:sz w:val="24"/>
        </w:rPr>
        <w:t>every party record has a golden identifier at all times, from the moment of first database commit.</w:t>
      </w:r>
    </w:p>
    <w:p>
      <w:pPr>
        <w:spacing w:before="200" w:after="80"/>
      </w:pPr>
      <w:r>
        <w:rPr>
          <w:rFonts w:ascii="Arial" w:hAnsi="Arial"/>
          <w:b/>
          <w:color w:val="1E1B4B"/>
          <w:sz w:val="22"/>
        </w:rPr>
        <w:t>V.C. Client-Supplied Golden Identity (Migration Path)</w:t>
      </w:r>
    </w:p>
    <w:p>
      <w:pPr>
        <w:spacing w:before="40" w:after="80"/>
        <w:jc w:val="both"/>
      </w:pPr>
      <w:r>
        <w:rPr>
          <w:rFonts w:ascii="Times New Roman" w:hAnsi="Times New Roman"/>
          <w:b w:val="0"/>
          <w:i w:val="0"/>
          <w:sz w:val="24"/>
        </w:rPr>
        <w:t>When migrating existing data from legacy systems, clients may supply their own golden identifiers:</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POST /api/v1/parties/ingest</w:t>
              <w:br/>
              <w:t>{</w:t>
              <w:br/>
              <w:t xml:space="preserve">  "goldenRecordId": "ORACLE-SEQ-10004231",</w:t>
              <w:br/>
              <w:t xml:space="preserve">  ...</w:t>
              <w:br/>
              <w:t>}</w:t>
            </w:r>
          </w:p>
        </w:tc>
      </w:tr>
    </w:tbl>
    <w:p/>
    <w:p>
      <w:pPr>
        <w:spacing w:before="40" w:after="80"/>
        <w:jc w:val="both"/>
      </w:pPr>
      <w:r>
        <w:rPr>
          <w:rFonts w:ascii="Times New Roman" w:hAnsi="Times New Roman"/>
          <w:b w:val="0"/>
          <w:i w:val="0"/>
          <w:sz w:val="24"/>
        </w:rPr>
        <w:t>When `goldenRecordId` is non-blank in the ingest payload, the matching engine is bypassed entirely and the supplied identifier is used as-is. This enables zero-downtime migration of existing identity systems into Averio MDM.</w:t>
      </w:r>
    </w:p>
    <w:p>
      <w:pPr>
        <w:pStyle w:val="Heading3"/>
      </w:pPr>
      <w:r>
        <w:t>VI. POST-UPDATE PROBABILISTIC CLUSTER DRIFT DETECTION (NOVEL INVENTION)</w:t>
      </w:r>
    </w:p>
    <w:p>
      <w:pPr>
        <w:spacing w:before="200" w:after="80"/>
      </w:pPr>
      <w:r>
        <w:rPr>
          <w:rFonts w:ascii="Arial" w:hAnsi="Arial"/>
          <w:b/>
          <w:color w:val="1E1B4B"/>
          <w:sz w:val="22"/>
        </w:rPr>
        <w:t>VI.A. The Drift Problem</w:t>
      </w:r>
    </w:p>
    <w:p>
      <w:pPr>
        <w:spacing w:before="40" w:after="80"/>
        <w:jc w:val="both"/>
      </w:pPr>
      <w:r>
        <w:rPr>
          <w:rFonts w:ascii="Times New Roman" w:hAnsi="Times New Roman"/>
          <w:b w:val="0"/>
          <w:i w:val="0"/>
          <w:sz w:val="24"/>
        </w:rPr>
        <w:t>Entity attributes are not static. A phone number may be corrected, an address updated, a tax ID completed, or a name formally changed. After any such update, the statistical basis on which a party was originally clustered may no longer hold. No known MDM system detects or responds to this condition automatically.</w:t>
      </w:r>
    </w:p>
    <w:p>
      <w:pPr>
        <w:spacing w:before="200" w:after="80"/>
      </w:pPr>
      <w:r>
        <w:rPr>
          <w:rFonts w:ascii="Arial" w:hAnsi="Arial"/>
          <w:b/>
          <w:color w:val="1E1B4B"/>
          <w:sz w:val="22"/>
        </w:rPr>
        <w:t>VI.B. Drift Detection Algorithm</w:t>
      </w:r>
    </w:p>
    <w:p>
      <w:pPr>
        <w:spacing w:before="40" w:after="80"/>
        <w:jc w:val="both"/>
      </w:pPr>
      <w:r>
        <w:rPr>
          <w:rFonts w:ascii="Times New Roman" w:hAnsi="Times New Roman"/>
          <w:b w:val="0"/>
          <w:i w:val="0"/>
          <w:sz w:val="24"/>
        </w:rPr>
        <w:t>`PartyService.reEvaluatePartyPlacement(Party party, String updatedBy)` is invoked after every `updateParty()` operation. The algorithm:</w:t>
      </w:r>
    </w:p>
    <w:p>
      <w:pPr>
        <w:spacing w:before="40" w:after="40"/>
        <w:jc w:val="both"/>
      </w:pPr>
      <w:r>
        <w:rPr>
          <w:rFonts w:ascii="Times New Roman" w:hAnsi="Times New Roman"/>
          <w:b/>
          <w:i w:val="0"/>
          <w:sz w:val="24"/>
        </w:rPr>
        <w:t>Step 1 — Intra-Cluster Scoring:</w:t>
      </w:r>
    </w:p>
    <w:p>
      <w:pPr>
        <w:spacing w:before="40" w:after="80"/>
        <w:jc w:val="both"/>
      </w:pPr>
      <w:r>
        <w:rPr>
          <w:rFonts w:ascii="Times New Roman" w:hAnsi="Times New Roman"/>
          <w:b w:val="0"/>
          <w:i w:val="0"/>
          <w:sz w:val="24"/>
        </w:rPr>
        <w:t>Retrieve all sibling parties sharing the same `goldenRecordId`, excluding the updated party itself.</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List&lt;Party&gt; siblings = partyRepository.findByGoldenRecordId(currentGoldenId)</w:t>
              <w:br/>
              <w:t xml:space="preserve">    .stream().filter(s -&gt; !s.getGlobalId().equals(party.getGlobalId()))</w:t>
              <w:br/>
              <w:t xml:space="preserve">    .collect(Collectors.toList());</w:t>
            </w:r>
          </w:p>
        </w:tc>
      </w:tr>
    </w:tbl>
    <w:p/>
    <w:p>
      <w:pPr>
        <w:spacing w:before="40" w:after="80"/>
        <w:jc w:val="both"/>
      </w:pPr>
      <w:r>
        <w:rPr>
          <w:rFonts w:ascii="Times New Roman" w:hAnsi="Times New Roman"/>
          <w:b w:val="0"/>
          <w:i w:val="0"/>
          <w:sz w:val="24"/>
        </w:rPr>
        <w:t>Score the updated party against each sibling using `matchingEngine.findMatches(party, siblings, null)`. Extract `bestSiblingScore`.</w:t>
      </w:r>
    </w:p>
    <w:p>
      <w:pPr>
        <w:spacing w:before="40" w:after="40"/>
        <w:jc w:val="both"/>
      </w:pPr>
      <w:r>
        <w:rPr>
          <w:rFonts w:ascii="Times New Roman" w:hAnsi="Times New Roman"/>
          <w:b/>
          <w:i w:val="0"/>
          <w:sz w:val="24"/>
        </w:rPr>
        <w:t>Step 2 — Drift Threshold Test:</w:t>
      </w:r>
    </w:p>
    <w:p>
      <w:pPr>
        <w:spacing w:before="40" w:after="80"/>
        <w:jc w:val="both"/>
      </w:pPr>
      <w:r>
        <w:rPr>
          <w:rFonts w:ascii="Times New Roman" w:hAnsi="Times New Roman"/>
          <w:sz w:val="24"/>
        </w:rPr>
        <w:t xml:space="preserve">If `bestSiblingScore &gt;= REVIEW_THRESHOLD (0.75)`, no drift is detected. The party still statistically belongs in its cluster. Return early. </w:t>
      </w:r>
      <w:r>
        <w:rPr>
          <w:rFonts w:ascii="Times New Roman" w:hAnsi="Times New Roman"/>
          <w:b/>
          <w:sz w:val="24"/>
        </w:rPr>
        <w:t>No action taken for the common case.</w:t>
      </w:r>
    </w:p>
    <w:p>
      <w:pPr>
        <w:spacing w:before="40" w:after="40"/>
        <w:jc w:val="both"/>
      </w:pPr>
      <w:r>
        <w:rPr>
          <w:rFonts w:ascii="Times New Roman" w:hAnsi="Times New Roman"/>
          <w:b/>
          <w:i w:val="0"/>
          <w:sz w:val="24"/>
        </w:rPr>
        <w:t>Step 3 — External Candidate Search (Drift Confirmed):</w:t>
      </w:r>
    </w:p>
    <w:p>
      <w:pPr>
        <w:spacing w:before="40" w:after="80"/>
        <w:jc w:val="both"/>
      </w:pPr>
      <w:r>
        <w:rPr>
          <w:rFonts w:ascii="Times New Roman" w:hAnsi="Times New Roman"/>
          <w:b w:val="0"/>
          <w:i w:val="0"/>
          <w:sz w:val="24"/>
        </w:rPr>
        <w:t>If drift is confirmed (`bestSiblingScore &lt; 0.75`), execute the full blocking + scoring pipeline against the global golden record pool:</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MatchingEngine.MatchResult externalResult = matchingEngine.findMatchesWithBlocking(party, null);</w:t>
            </w:r>
          </w:p>
        </w:tc>
      </w:tr>
    </w:tbl>
    <w:p/>
    <w:p>
      <w:pPr>
        <w:spacing w:before="40" w:after="80"/>
        <w:jc w:val="both"/>
      </w:pPr>
      <w:r>
        <w:rPr>
          <w:rFonts w:ascii="Times New Roman" w:hAnsi="Times New Roman"/>
          <w:b w:val="0"/>
          <w:i w:val="0"/>
          <w:sz w:val="24"/>
        </w:rPr>
        <w:t>Filter results to candidates belonging to a *different* golden cluster than the current one.</w:t>
      </w:r>
    </w:p>
    <w:p>
      <w:pPr>
        <w:spacing w:before="40" w:after="40"/>
        <w:jc w:val="both"/>
      </w:pPr>
      <w:r>
        <w:rPr>
          <w:rFonts w:ascii="Times New Roman" w:hAnsi="Times New Roman"/>
          <w:b/>
          <w:i w:val="0"/>
          <w:sz w:val="24"/>
        </w:rPr>
        <w:t>Step 4 — Drift Remediation (Three-Branch):</w:t>
      </w:r>
    </w:p>
    <w:p>
      <w:pPr>
        <w:spacing w:before="40" w:after="80"/>
        <w:jc w:val="both"/>
      </w:pPr>
      <w:r>
        <w:rPr>
          <w:rFonts w:ascii="Times New Roman" w:hAnsi="Times New Roman"/>
          <w:b w:val="0"/>
          <w:i w:val="0"/>
          <w:sz w:val="24"/>
        </w:rPr>
        <w:t>| Condition | Action | Timeline Events |</w:t>
      </w:r>
    </w:p>
    <w:p>
      <w:pPr>
        <w:spacing w:before="40" w:after="80"/>
        <w:jc w:val="both"/>
      </w:pPr>
      <w:r>
        <w:rPr>
          <w:rFonts w:ascii="Times New Roman" w:hAnsi="Times New Roman"/>
          <w:b w:val="0"/>
          <w:i w:val="0"/>
          <w:sz w:val="24"/>
        </w:rPr>
        <w:t>|---|---|---|</w:t>
      </w:r>
    </w:p>
    <w:p>
      <w:pPr>
        <w:spacing w:before="40" w:after="80"/>
        <w:jc w:val="both"/>
      </w:pPr>
      <w:r>
        <w:rPr>
          <w:rFonts w:ascii="Times New Roman" w:hAnsi="Times New Roman"/>
          <w:b w:val="0"/>
          <w:i w:val="0"/>
          <w:sz w:val="24"/>
        </w:rPr>
        <w:t>| `externalScore &gt;= 0.95` | `reassignPartyToGolden()` — auto-reassign | `PARTY_LEFT_CLUSTER` on old, `PARTY_JOINED_CLUSTER` on new |</w:t>
      </w:r>
    </w:p>
    <w:p>
      <w:pPr>
        <w:spacing w:before="40" w:after="80"/>
        <w:jc w:val="both"/>
      </w:pPr>
      <w:r>
        <w:rPr>
          <w:rFonts w:ascii="Times New Roman" w:hAnsi="Times New Roman"/>
          <w:b w:val="0"/>
          <w:i w:val="0"/>
          <w:sz w:val="24"/>
        </w:rPr>
        <w:t>| `externalScore 0.75–0.94` | `createMatchReviewTask()` — send to steward | `CLUSTER_DRIFT_REVIEW_REQUESTED` |</w:t>
      </w:r>
    </w:p>
    <w:p>
      <w:pPr>
        <w:spacing w:before="40" w:after="80"/>
        <w:jc w:val="both"/>
      </w:pPr>
      <w:r>
        <w:rPr>
          <w:rFonts w:ascii="Times New Roman" w:hAnsi="Times New Roman"/>
          <w:b w:val="0"/>
          <w:i w:val="0"/>
          <w:sz w:val="24"/>
        </w:rPr>
        <w:t>| No external match | `detachToNewGolden()` — create new golden | `PARTY_DETACHED_FROM_CLUSTER`, `GOLDEN_CREATED_AFTER_DRIFT` |</w:t>
      </w:r>
    </w:p>
    <w:p>
      <w:pPr>
        <w:spacing w:before="40" w:after="40"/>
        <w:jc w:val="both"/>
      </w:pPr>
      <w:r>
        <w:rPr>
          <w:rFonts w:ascii="Times New Roman" w:hAnsi="Times New Roman"/>
          <w:b/>
          <w:i w:val="0"/>
          <w:sz w:val="24"/>
        </w:rPr>
        <w:t>Step 5 — Refresh Old Golden:</w:t>
      </w:r>
    </w:p>
    <w:p>
      <w:pPr>
        <w:spacing w:before="40" w:after="80"/>
        <w:jc w:val="both"/>
      </w:pPr>
      <w:r>
        <w:rPr>
          <w:rFonts w:ascii="Times New Roman" w:hAnsi="Times New Roman"/>
          <w:b w:val="0"/>
          <w:i w:val="0"/>
          <w:sz w:val="24"/>
        </w:rPr>
        <w:t>Regardless of branch taken, `goldenRecordService.refreshGoldenRecord(currentGoldenId)` is called to update the surviving cluster's golden record without the departed party.</w:t>
      </w:r>
    </w:p>
    <w:p>
      <w:pPr>
        <w:spacing w:before="200" w:after="80"/>
      </w:pPr>
      <w:r>
        <w:rPr>
          <w:rFonts w:ascii="Arial" w:hAnsi="Arial"/>
          <w:b/>
          <w:color w:val="1E1B4B"/>
          <w:sz w:val="22"/>
        </w:rPr>
        <w:t>VI.C. Timeline Event Architecture for Drift</w:t>
      </w:r>
    </w:p>
    <w:p>
      <w:pPr>
        <w:spacing w:before="40" w:after="80"/>
        <w:jc w:val="both"/>
      </w:pPr>
      <w:r>
        <w:rPr>
          <w:rFonts w:ascii="Times New Roman" w:hAnsi="Times New Roman"/>
          <w:b w:val="0"/>
          <w:i w:val="0"/>
          <w:sz w:val="24"/>
        </w:rPr>
        <w:t>All cluster membership changes are recorded as immutable `TimelineEvent` documents in Cosmos DB, partitioned by `/entityId` (golden record ID):</w:t>
      </w:r>
    </w:p>
    <w:p>
      <w:pPr>
        <w:pStyle w:val="ListBullet"/>
        <w:spacing w:before="20" w:after="20"/>
      </w:pPr>
      <w:r>
        <w:rPr>
          <w:rFonts w:ascii="Times New Roman" w:hAnsi="Times New Roman"/>
          <w:sz w:val="24"/>
        </w:rPr>
        <w:t>`PARTY_LEFT_CLUSTER`: Recorded on the *old* golden ID. Contains old score, new golden ID, triggered by.</w:t>
      </w:r>
    </w:p>
    <w:p>
      <w:pPr>
        <w:pStyle w:val="ListBullet"/>
        <w:spacing w:before="20" w:after="20"/>
      </w:pPr>
      <w:r>
        <w:rPr>
          <w:rFonts w:ascii="Times New Roman" w:hAnsi="Times New Roman"/>
          <w:sz w:val="24"/>
        </w:rPr>
        <w:t>`PARTY_JOINED_CLUSTER`: Recorded on the *new* golden ID. Contains match score, match method.</w:t>
      </w:r>
    </w:p>
    <w:p>
      <w:pPr>
        <w:pStyle w:val="ListBullet"/>
        <w:spacing w:before="20" w:after="20"/>
      </w:pPr>
      <w:r>
        <w:rPr>
          <w:rFonts w:ascii="Times New Roman" w:hAnsi="Times New Roman"/>
          <w:sz w:val="24"/>
        </w:rPr>
        <w:t>`CLUSTER_DRIFT_REVIEW_REQUESTED`: Recorded on the *old* golden ID. Contains provisional new golden ID, steward task ID.</w:t>
      </w:r>
    </w:p>
    <w:p>
      <w:pPr>
        <w:pStyle w:val="ListBullet"/>
        <w:spacing w:before="20" w:after="20"/>
      </w:pPr>
      <w:r>
        <w:rPr>
          <w:rFonts w:ascii="Times New Roman" w:hAnsi="Times New Roman"/>
          <w:sz w:val="24"/>
        </w:rPr>
        <w:t>`PARTY_DETACHED_FROM_CLUSTER`: Recorded on the *old* golden ID.</w:t>
      </w:r>
    </w:p>
    <w:p>
      <w:pPr>
        <w:pStyle w:val="ListBullet"/>
        <w:spacing w:before="20" w:after="20"/>
      </w:pPr>
      <w:r>
        <w:rPr>
          <w:rFonts w:ascii="Times New Roman" w:hAnsi="Times New Roman"/>
          <w:sz w:val="24"/>
        </w:rPr>
        <w:t>`GOLDEN_CREATED_AFTER_DRIFT`: Recorded on the *new* golden ID.</w:t>
      </w:r>
    </w:p>
    <w:p>
      <w:pPr>
        <w:spacing w:before="40" w:after="80"/>
        <w:jc w:val="both"/>
      </w:pPr>
      <w:r>
        <w:rPr>
          <w:rFonts w:ascii="Times New Roman" w:hAnsi="Times New Roman"/>
          <w:b w:val="0"/>
          <w:i w:val="0"/>
          <w:sz w:val="24"/>
        </w:rPr>
        <w:t>This creates a complete, auditable history of cluster membership changes that is queryable by golden ID, enabling compliance reporting and point-in-time reconstruction of cluster state.</w:t>
      </w:r>
    </w:p>
    <w:p>
      <w:pPr>
        <w:pStyle w:val="Heading3"/>
      </w:pPr>
      <w:r>
        <w:t>VII. TRANSITIVE CLUSTER MERGING VIA UNION-FIND</w:t>
      </w:r>
    </w:p>
    <w:p>
      <w:pPr>
        <w:spacing w:before="40" w:after="80"/>
        <w:jc w:val="both"/>
      </w:pPr>
      <w:r>
        <w:rPr>
          <w:rFonts w:ascii="Times New Roman" w:hAnsi="Times New Roman"/>
          <w:b w:val="0"/>
          <w:i w:val="0"/>
          <w:sz w:val="24"/>
        </w:rPr>
        <w:t>`ClusterMergeService` resolves transitive closure in matching chains. If record A matches record B (score ≥ threshold) and record B matches record C, then A, B, and C must belong to the same cluster even if A and C have never been directly compared.</w:t>
      </w:r>
    </w:p>
    <w:p>
      <w:pPr>
        <w:spacing w:before="40" w:after="80"/>
        <w:jc w:val="both"/>
      </w:pPr>
      <w:r>
        <w:rPr>
          <w:rFonts w:ascii="Times New Roman" w:hAnsi="Times New Roman"/>
          <w:b w:val="0"/>
          <w:i w:val="0"/>
          <w:sz w:val="24"/>
        </w:rPr>
        <w:t>The Union-Find (Disjoint Set Union) algorithm is applied:</w:t>
      </w:r>
    </w:p>
    <w:p>
      <w:pPr>
        <w:pStyle w:val="ListNumber"/>
        <w:spacing w:before="20" w:after="20"/>
      </w:pPr>
      <w:r>
        <w:rPr>
          <w:rFonts w:ascii="Times New Roman" w:hAnsi="Times New Roman"/>
          <w:sz w:val="24"/>
        </w:rPr>
        <w:t>Initialize each record as its own cluster representative.</w:t>
      </w:r>
    </w:p>
    <w:p>
      <w:pPr>
        <w:pStyle w:val="ListNumber"/>
        <w:spacing w:before="20" w:after="20"/>
      </w:pPr>
      <w:r>
        <w:rPr>
          <w:rFonts w:ascii="Times New Roman" w:hAnsi="Times New Roman"/>
          <w:sz w:val="24"/>
        </w:rPr>
        <w:t>For each pair (A, B) above the link threshold, call `union(A, B)`.</w:t>
      </w:r>
    </w:p>
    <w:p>
      <w:pPr>
        <w:pStyle w:val="ListNumber"/>
        <w:spacing w:before="20" w:after="20"/>
      </w:pPr>
      <w:r>
        <w:rPr>
          <w:rFonts w:ascii="Times New Roman" w:hAnsi="Times New Roman"/>
          <w:sz w:val="24"/>
        </w:rPr>
        <w:t>`union(a, b)` uses path compression and union-by-rank for O(α(N)) time per operation.</w:t>
      </w:r>
    </w:p>
    <w:p>
      <w:pPr>
        <w:pStyle w:val="ListNumber"/>
        <w:spacing w:before="20" w:after="20"/>
      </w:pPr>
      <w:r>
        <w:rPr>
          <w:rFonts w:ascii="Times New Roman" w:hAnsi="Times New Roman"/>
          <w:sz w:val="24"/>
        </w:rPr>
        <w:t>`getClusters()` returns a map from representative ID to all member IDs.</w:t>
      </w:r>
    </w:p>
    <w:p>
      <w:pPr>
        <w:spacing w:before="40" w:after="80"/>
        <w:jc w:val="both"/>
      </w:pPr>
      <w:r>
        <w:rPr>
          <w:rFonts w:ascii="Times New Roman" w:hAnsi="Times New Roman"/>
          <w:sz w:val="24"/>
        </w:rPr>
        <w:t xml:space="preserve">This ensures: </w:t>
      </w:r>
      <w:r>
        <w:rPr>
          <w:rFonts w:ascii="Times New Roman" w:hAnsi="Times New Roman"/>
          <w:b/>
          <w:sz w:val="24"/>
        </w:rPr>
        <w:t>no two records that are transitively matched remain in separate golden clusters.</w:t>
      </w:r>
    </w:p>
    <w:p>
      <w:pPr>
        <w:pStyle w:val="Heading3"/>
      </w:pPr>
      <w:r>
        <w:t>VIII. QUERY-TIME SURVIVORSHIP RULE ENGINE</w:t>
      </w:r>
    </w:p>
    <w:p>
      <w:pPr>
        <w:spacing w:before="200" w:after="80"/>
      </w:pPr>
      <w:r>
        <w:rPr>
          <w:rFonts w:ascii="Arial" w:hAnsi="Arial"/>
          <w:b/>
          <w:color w:val="1E1B4B"/>
          <w:sz w:val="22"/>
        </w:rPr>
        <w:t>VIII.A. Architecture</w:t>
      </w:r>
    </w:p>
    <w:p>
      <w:pPr>
        <w:spacing w:before="40" w:after="80"/>
        <w:jc w:val="both"/>
      </w:pPr>
      <w:r>
        <w:rPr>
          <w:rFonts w:ascii="Times New Roman" w:hAnsi="Times New Roman"/>
          <w:b w:val="0"/>
          <w:i w:val="0"/>
          <w:sz w:val="24"/>
        </w:rPr>
        <w:t>Golden records in Averio MDM are not pre-computed and stored as static entities. Instead, they are assembled from source records at query time by applying survivorship rules. This enables:</w:t>
      </w:r>
    </w:p>
    <w:p>
      <w:pPr>
        <w:pStyle w:val="ListBullet"/>
        <w:spacing w:before="20" w:after="20"/>
      </w:pPr>
      <w:r>
        <w:rPr>
          <w:rFonts w:ascii="Times New Roman" w:hAnsi="Times New Roman"/>
          <w:sz w:val="24"/>
        </w:rPr>
        <w:t>Rule changes to take effect immediately without re-computing stored records</w:t>
      </w:r>
    </w:p>
    <w:p>
      <w:pPr>
        <w:pStyle w:val="ListBullet"/>
        <w:spacing w:before="20" w:after="20"/>
      </w:pPr>
      <w:r>
        <w:rPr>
          <w:rFonts w:ascii="Times New Roman" w:hAnsi="Times New Roman"/>
          <w:sz w:val="24"/>
        </w:rPr>
        <w:t>Per-view golden record construction for different business units or regulatory requirements</w:t>
      </w:r>
    </w:p>
    <w:p>
      <w:pPr>
        <w:pStyle w:val="ListBullet"/>
        <w:spacing w:before="20" w:after="20"/>
      </w:pPr>
      <w:r>
        <w:rPr>
          <w:rFonts w:ascii="Times New Roman" w:hAnsi="Times New Roman"/>
          <w:sz w:val="24"/>
        </w:rPr>
        <w:t>Full auditability of which source record contributed each attribute</w:t>
      </w:r>
    </w:p>
    <w:p>
      <w:pPr>
        <w:spacing w:before="200" w:after="80"/>
      </w:pPr>
      <w:r>
        <w:rPr>
          <w:rFonts w:ascii="Arial" w:hAnsi="Arial"/>
          <w:b/>
          <w:color w:val="1E1B4B"/>
          <w:sz w:val="22"/>
        </w:rPr>
        <w:t>VIII.B. Rule Types</w:t>
      </w:r>
    </w:p>
    <w:p>
      <w:pPr>
        <w:spacing w:before="40" w:after="80"/>
        <w:jc w:val="both"/>
      </w:pPr>
      <w:r>
        <w:rPr>
          <w:rFonts w:ascii="Times New Roman" w:hAnsi="Times New Roman"/>
          <w:b w:val="0"/>
          <w:i w:val="0"/>
          <w:sz w:val="24"/>
        </w:rPr>
        <w:t>The survivorship engine (`SurvivorshipEngine.buildGoldenRecord()`) applies six rule types per attribute:</w:t>
      </w:r>
    </w:p>
    <w:p>
      <w:pPr>
        <w:pStyle w:val="ListNumber"/>
        <w:spacing w:before="20" w:after="20"/>
      </w:pPr>
      <w:r>
        <w:rPr>
          <w:rFonts w:ascii="Times New Roman" w:hAnsi="Times New Roman"/>
          <w:sz w:val="24"/>
        </w:rPr>
        <w:t>SOURCE_PRIORITY: An ordered list of source systems defines preference. The attribute value from the highest-priority available source wins.</w:t>
      </w:r>
    </w:p>
    <w:p>
      <w:pPr>
        <w:pStyle w:val="ListNumber"/>
        <w:spacing w:before="20" w:after="20"/>
      </w:pPr>
      <w:r>
        <w:rPr>
          <w:rFonts w:ascii="Times New Roman" w:hAnsi="Times New Roman"/>
          <w:sz w:val="24"/>
        </w:rPr>
        <w:t>MOST_RECENT: The attribute value with the most recent `sourceLastUpdated` timestamp wins.</w:t>
      </w:r>
    </w:p>
    <w:p>
      <w:pPr>
        <w:pStyle w:val="ListNumber"/>
        <w:spacing w:before="20" w:after="20"/>
      </w:pPr>
      <w:r>
        <w:rPr>
          <w:rFonts w:ascii="Times New Roman" w:hAnsi="Times New Roman"/>
          <w:sz w:val="24"/>
        </w:rPr>
        <w:t>MOST_FREQUENT: The attribute value that appears most frequently across source records wins (majority vote).</w:t>
      </w:r>
    </w:p>
    <w:p>
      <w:pPr>
        <w:pStyle w:val="ListNumber"/>
        <w:spacing w:before="20" w:after="20"/>
      </w:pPr>
      <w:r>
        <w:rPr>
          <w:rFonts w:ascii="Times New Roman" w:hAnsi="Times New Roman"/>
          <w:sz w:val="24"/>
        </w:rPr>
        <w:t>SUPREMACY: A designated "supremacy source" system always wins regardless of recency or frequency.</w:t>
      </w:r>
    </w:p>
    <w:p>
      <w:pPr>
        <w:pStyle w:val="ListNumber"/>
        <w:spacing w:before="20" w:after="20"/>
      </w:pPr>
      <w:r>
        <w:rPr>
          <w:rFonts w:ascii="Times New Roman" w:hAnsi="Times New Roman"/>
          <w:sz w:val="24"/>
        </w:rPr>
        <w:t>NON_NULL: The first non-null value across sources, ordered by source priority, wins.</w:t>
      </w:r>
    </w:p>
    <w:p>
      <w:pPr>
        <w:pStyle w:val="ListNumber"/>
        <w:spacing w:before="20" w:after="20"/>
      </w:pPr>
      <w:r>
        <w:rPr>
          <w:rFonts w:ascii="Times New Roman" w:hAnsi="Times New Roman"/>
          <w:sz w:val="24"/>
        </w:rPr>
        <w:t>LONGEST: The longest string value wins (useful for address fields where longer usually means more complete).</w:t>
      </w:r>
    </w:p>
    <w:p>
      <w:pPr>
        <w:spacing w:before="200" w:after="80"/>
      </w:pPr>
      <w:r>
        <w:rPr>
          <w:rFonts w:ascii="Arial" w:hAnsi="Arial"/>
          <w:b/>
          <w:color w:val="1E1B4B"/>
          <w:sz w:val="22"/>
        </w:rPr>
        <w:t>VIII.C. View-Scoped Golden Records</w:t>
      </w:r>
    </w:p>
    <w:p>
      <w:pPr>
        <w:spacing w:before="40" w:after="80"/>
        <w:jc w:val="both"/>
      </w:pPr>
      <w:r>
        <w:rPr>
          <w:rFonts w:ascii="Times New Roman" w:hAnsi="Times New Roman"/>
          <w:b w:val="0"/>
          <w:i w:val="0"/>
          <w:sz w:val="24"/>
        </w:rPr>
        <w:t>When a `viewId` parameter is supplied, `GoldenRecordService.getGoldenRecordForView()` loads `SurvivorshipRule` entities filtered to that view. Different views may apply different rule sets to the same underlying source data, yielding different golden record values for different business consumers — all from a single authoritative data store.</w:t>
      </w:r>
    </w:p>
    <w:p>
      <w:pPr>
        <w:pStyle w:val="Heading3"/>
      </w:pPr>
      <w:r>
        <w:t>IX. HUMAN-IN-THE-LOOP ML RETRAINING PIPELINE</w:t>
      </w:r>
    </w:p>
    <w:p>
      <w:pPr>
        <w:spacing w:before="200" w:after="80"/>
      </w:pPr>
      <w:r>
        <w:rPr>
          <w:rFonts w:ascii="Arial" w:hAnsi="Arial"/>
          <w:b/>
          <w:color w:val="1E1B4B"/>
          <w:sz w:val="22"/>
        </w:rPr>
        <w:t>IX.A. Feature Capture at Decision Time</w:t>
      </w:r>
    </w:p>
    <w:p>
      <w:pPr>
        <w:spacing w:before="40" w:after="80"/>
        <w:jc w:val="both"/>
      </w:pPr>
      <w:r>
        <w:rPr>
          <w:rFonts w:ascii="Times New Roman" w:hAnsi="Times New Roman"/>
          <w:b w:val="0"/>
          <w:i w:val="0"/>
          <w:sz w:val="24"/>
        </w:rPr>
        <w:t>When a steward makes a merge/reject decision on a steward task, `MLMatchingService.captureDecision()` is invoked. The system immediately extracts eleven core features from the current state of both party records:</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nameSimilarity, dobExactMatch, taxIdExactMatch, emailMatch, phoneMatch,</w:t>
              <w:br/>
              <w:t>addressSimilarity, dunsMatch, leiMatch, nationalIdMatch,</w:t>
              <w:br/>
              <w:t>sourceSystemDiversity, partyTypeMatch</w:t>
            </w:r>
          </w:p>
        </w:tc>
      </w:tr>
    </w:tbl>
    <w:p/>
    <w:p>
      <w:pPr>
        <w:spacing w:before="40" w:after="80"/>
        <w:jc w:val="both"/>
      </w:pPr>
      <w:r>
        <w:rPr>
          <w:rFonts w:ascii="Times New Roman" w:hAnsi="Times New Roman"/>
          <w:b w:val="0"/>
          <w:i w:val="0"/>
          <w:sz w:val="24"/>
        </w:rPr>
        <w:t>These features are stored with the steward's label (MATCH / NO_MATCH) as an immutable `MatchingFeedback` document in Cosmos DB.</w:t>
      </w:r>
    </w:p>
    <w:p>
      <w:pPr>
        <w:spacing w:before="40" w:after="40"/>
        <w:jc w:val="both"/>
      </w:pPr>
      <w:r>
        <w:rPr>
          <w:rFonts w:ascii="Times New Roman" w:hAnsi="Times New Roman"/>
          <w:b/>
          <w:sz w:val="24"/>
        </w:rPr>
        <w:t>Critical innovation:</w:t>
      </w:r>
      <w:r>
        <w:rPr>
          <w:rFonts w:ascii="Times New Roman" w:hAnsi="Times New Roman"/>
          <w:sz w:val="24"/>
        </w:rPr>
        <w:t xml:space="preserve"> Features are captured at decision time rather than queried at training time. This is necessary because party attributes evolve; the feature vector that informed the steward's decision is the ground truth, not the feature vector that would be computed from current attribute values months later. This enables </w:t>
      </w:r>
      <w:r>
        <w:rPr>
          <w:rFonts w:ascii="Times New Roman" w:hAnsi="Times New Roman"/>
          <w:b/>
          <w:sz w:val="24"/>
        </w:rPr>
        <w:t>replay-free retraining</w:t>
      </w:r>
      <w:r>
        <w:rPr>
          <w:rFonts w:ascii="Times New Roman" w:hAnsi="Times New Roman"/>
          <w:sz w:val="24"/>
        </w:rPr>
        <w:t xml:space="preserve"> — the training set can be rebuilt from stored feedback documents without requiring original party record state.</w:t>
      </w:r>
    </w:p>
    <w:p>
      <w:pPr>
        <w:spacing w:before="200" w:after="80"/>
      </w:pPr>
      <w:r>
        <w:rPr>
          <w:rFonts w:ascii="Arial" w:hAnsi="Arial"/>
          <w:b/>
          <w:color w:val="1E1B4B"/>
          <w:sz w:val="22"/>
        </w:rPr>
        <w:t>IX.B. Automatic Retraining Trigger</w:t>
      </w:r>
    </w:p>
    <w:p>
      <w:pPr>
        <w:spacing w:before="40" w:after="80"/>
        <w:jc w:val="both"/>
      </w:pPr>
      <w:r>
        <w:rPr>
          <w:rFonts w:ascii="Times New Roman" w:hAnsi="Times New Roman"/>
          <w:b w:val="0"/>
          <w:i w:val="0"/>
          <w:sz w:val="24"/>
        </w:rPr>
        <w:t>After each feedback capture, the system checks:</w:t>
      </w:r>
    </w:p>
    <w:tbl>
      <w:tblPr>
        <w:tblStyle w:val="TableGrid"/>
        <w:tblW w:type="auto" w:w="0"/>
        <w:tblLook w:firstColumn="1" w:firstRow="1" w:lastColumn="0" w:lastRow="0" w:noHBand="0" w:noVBand="1" w:val="04A0"/>
      </w:tblPr>
      <w:tblGrid>
        <w:gridCol w:w="8640"/>
      </w:tblGrid>
      <w:tr>
        <w:tc>
          <w:tcPr>
            <w:tcW w:type="dxa" w:w="8640"/>
            <w:shd w:val="clear" w:color="auto" w:fill="F3F4F6"/>
          </w:tcPr>
          <w:p>
            <w:pPr>
              <w:spacing w:before="80" w:after="80"/>
            </w:pPr>
            <w:r>
              <w:rPr>
                <w:rFonts w:ascii="Courier New" w:hAnsi="Courier New"/>
                <w:sz w:val="18"/>
              </w:rPr>
              <w:t>if (feedbackCount &gt;= MIN_EXAMPLES &amp;&amp; feedbackCount % RETRAIN_EVERY == 0) {</w:t>
              <w:br/>
              <w:t xml:space="preserve">    retrainModel(entityType);</w:t>
              <w:br/>
              <w:t>}</w:t>
            </w:r>
          </w:p>
        </w:tc>
      </w:tr>
    </w:tbl>
    <w:p/>
    <w:p>
      <w:pPr>
        <w:spacing w:before="40" w:after="80"/>
        <w:jc w:val="both"/>
      </w:pPr>
      <w:r>
        <w:rPr>
          <w:rFonts w:ascii="Times New Roman" w:hAnsi="Times New Roman"/>
          <w:b w:val="0"/>
          <w:i w:val="0"/>
          <w:sz w:val="24"/>
        </w:rPr>
        <w:t>Default values: `MIN_EXAMPLES = 5`, `RETRAIN_EVERY = 5`. This means the model retrains every five new labeled examples once a minimum threshold is met.</w:t>
      </w:r>
    </w:p>
    <w:p>
      <w:pPr>
        <w:spacing w:before="200" w:after="80"/>
      </w:pPr>
      <w:r>
        <w:rPr>
          <w:rFonts w:ascii="Arial" w:hAnsi="Arial"/>
          <w:b/>
          <w:color w:val="1E1B4B"/>
          <w:sz w:val="22"/>
        </w:rPr>
        <w:t>IX.C. Logistic Regression Training</w:t>
      </w:r>
    </w:p>
    <w:p>
      <w:pPr>
        <w:spacing w:before="40" w:after="80"/>
        <w:jc w:val="both"/>
      </w:pPr>
      <w:r>
        <w:rPr>
          <w:rFonts w:ascii="Times New Roman" w:hAnsi="Times New Roman"/>
          <w:b w:val="0"/>
          <w:i w:val="0"/>
          <w:sz w:val="24"/>
        </w:rPr>
        <w:t>The `MLMatchingService.trainModel()` method implements logistic regression:</w:t>
      </w:r>
    </w:p>
    <w:p>
      <w:pPr>
        <w:pStyle w:val="ListBullet"/>
        <w:spacing w:before="20" w:after="20"/>
      </w:pPr>
      <w:r>
        <w:rPr>
          <w:rFonts w:ascii="Times New Roman" w:hAnsi="Times New Roman"/>
          <w:sz w:val="24"/>
        </w:rPr>
        <w:t>Feature matrix: X ∈ ℝ^(n×d), n = example count, d = 11 features</w:t>
      </w:r>
    </w:p>
    <w:p>
      <w:pPr>
        <w:pStyle w:val="ListBullet"/>
        <w:spacing w:before="20" w:after="20"/>
      </w:pPr>
      <w:r>
        <w:rPr>
          <w:rFonts w:ascii="Times New Roman" w:hAnsi="Times New Roman"/>
          <w:sz w:val="24"/>
        </w:rPr>
        <w:t>Target vector: y ∈ {0, 1}^n</w:t>
      </w:r>
    </w:p>
    <w:p>
      <w:pPr>
        <w:pStyle w:val="ListBullet"/>
        <w:spacing w:before="20" w:after="20"/>
      </w:pPr>
      <w:r>
        <w:rPr>
          <w:rFonts w:ascii="Times New Roman" w:hAnsi="Times New Roman"/>
          <w:sz w:val="24"/>
        </w:rPr>
        <w:t>Weight vector: w ∈ ℝ^(d+1) (d features + bias)</w:t>
      </w:r>
    </w:p>
    <w:p>
      <w:pPr>
        <w:pStyle w:val="ListBullet"/>
        <w:spacing w:before="20" w:after="20"/>
      </w:pPr>
      <w:r>
        <w:rPr>
          <w:rFonts w:ascii="Times New Roman" w:hAnsi="Times New Roman"/>
          <w:sz w:val="24"/>
        </w:rPr>
        <w:t>Gradient descent: up to 500 iterations</w:t>
      </w:r>
    </w:p>
    <w:p>
      <w:pPr>
        <w:pStyle w:val="ListBullet"/>
        <w:spacing w:before="20" w:after="20"/>
      </w:pPr>
      <w:r>
        <w:rPr>
          <w:rFonts w:ascii="Times New Roman" w:hAnsi="Times New Roman"/>
          <w:sz w:val="24"/>
        </w:rPr>
        <w:t>Learning rate: η = 0.1</w:t>
      </w:r>
    </w:p>
    <w:p>
      <w:pPr>
        <w:pStyle w:val="ListBullet"/>
        <w:spacing w:before="20" w:after="20"/>
      </w:pPr>
      <w:r>
        <w:rPr>
          <w:rFonts w:ascii="Times New Roman" w:hAnsi="Times New Roman"/>
          <w:sz w:val="24"/>
        </w:rPr>
        <w:t>L2 regularization: λ = 0.01 (applied to feature weights, not bias)</w:t>
      </w:r>
    </w:p>
    <w:p>
      <w:pPr>
        <w:pStyle w:val="ListBullet"/>
        <w:spacing w:before="20" w:after="20"/>
      </w:pPr>
      <w:r>
        <w:rPr>
          <w:rFonts w:ascii="Times New Roman" w:hAnsi="Times New Roman"/>
          <w:sz w:val="24"/>
        </w:rPr>
        <w:t>Prediction: ŷ = σ(w^T x) where σ is the sigmoid function</w:t>
      </w:r>
    </w:p>
    <w:p>
      <w:pPr>
        <w:spacing w:before="40" w:after="80"/>
        <w:jc w:val="both"/>
      </w:pPr>
      <w:r>
        <w:rPr>
          <w:rFonts w:ascii="Times New Roman" w:hAnsi="Times New Roman"/>
          <w:b w:val="0"/>
          <w:i w:val="0"/>
          <w:sz w:val="24"/>
        </w:rPr>
        <w:t>After training, the system computes accuracy, precision, recall, F1 score, and per-feature importance (|w_i| / Σ|w_j|) with direction classification (POSITIVE / NEGATIVE / NEUTRAL).</w:t>
      </w:r>
    </w:p>
    <w:p>
      <w:pPr>
        <w:pStyle w:val="Heading3"/>
      </w:pPr>
      <w:r>
        <w:t>X. NAME NORMALIZATION SUBSYSTEM</w:t>
      </w:r>
    </w:p>
    <w:p>
      <w:pPr>
        <w:spacing w:before="200" w:after="80"/>
      </w:pPr>
      <w:r>
        <w:rPr>
          <w:rFonts w:ascii="Arial" w:hAnsi="Arial"/>
          <w:b/>
          <w:color w:val="1E1B4B"/>
          <w:sz w:val="22"/>
        </w:rPr>
        <w:t>X.A. Organization Name Normalization</w:t>
      </w:r>
    </w:p>
    <w:p>
      <w:pPr>
        <w:spacing w:before="40" w:after="80"/>
        <w:jc w:val="both"/>
      </w:pPr>
      <w:r>
        <w:rPr>
          <w:rFonts w:ascii="Times New Roman" w:hAnsi="Times New Roman"/>
          <w:b w:val="0"/>
          <w:i w:val="0"/>
          <w:sz w:val="24"/>
        </w:rPr>
        <w:t>`NameNormalizerService.normaliseOrg()` applies:</w:t>
      </w:r>
    </w:p>
    <w:p>
      <w:pPr>
        <w:pStyle w:val="ListNumber"/>
        <w:spacing w:before="20" w:after="20"/>
      </w:pPr>
      <w:r>
        <w:rPr>
          <w:rFonts w:ascii="Times New Roman" w:hAnsi="Times New Roman"/>
          <w:sz w:val="24"/>
        </w:rPr>
        <w:t>Legal suffix stripping: 30+ legal entity suffixes in multiple languages are stripped using longest-match-first to prevent partial matches ("Corp" matching before "Corporation").</w:t>
      </w:r>
    </w:p>
    <w:p>
      <w:pPr>
        <w:pStyle w:val="ListNumber"/>
        <w:spacing w:before="20" w:after="20"/>
      </w:pPr>
      <w:r>
        <w:rPr>
          <w:rFonts w:ascii="Times New Roman" w:hAnsi="Times New Roman"/>
          <w:sz w:val="24"/>
        </w:rPr>
        <w:t>Punctuation normalization: Commas, dots, and other punctuation are replaced with spaces.</w:t>
      </w:r>
    </w:p>
    <w:p>
      <w:pPr>
        <w:pStyle w:val="ListNumber"/>
        <w:spacing w:before="20" w:after="20"/>
      </w:pPr>
      <w:r>
        <w:rPr>
          <w:rFonts w:ascii="Times New Roman" w:hAnsi="Times New Roman"/>
          <w:sz w:val="24"/>
        </w:rPr>
        <w:t>Whitespace collapsing: Multiple consecutive spaces are reduced to single spaces.</w:t>
      </w:r>
    </w:p>
    <w:p>
      <w:pPr>
        <w:pStyle w:val="ListNumber"/>
        <w:spacing w:before="20" w:after="20"/>
      </w:pPr>
      <w:r>
        <w:rPr>
          <w:rFonts w:ascii="Times New Roman" w:hAnsi="Times New Roman"/>
          <w:sz w:val="24"/>
        </w:rPr>
        <w:t>Lowercase conversion.</w:t>
      </w:r>
    </w:p>
    <w:p>
      <w:pPr>
        <w:spacing w:before="40" w:after="80"/>
        <w:jc w:val="both"/>
      </w:pPr>
      <w:r>
        <w:rPr>
          <w:rFonts w:ascii="Times New Roman" w:hAnsi="Times New Roman"/>
          <w:b w:val="0"/>
          <w:i w:val="0"/>
          <w:sz w:val="24"/>
        </w:rPr>
        <w:t>Example: `"IBM Corporation, Inc."` → `"ibm"`, ensuring that `"IBM"`, `"IBM Corp"`, `"IBM Corporation"`, and `"IBM Inc."` all produce identical blocking keys.</w:t>
      </w:r>
    </w:p>
    <w:p>
      <w:pPr>
        <w:spacing w:before="200" w:after="80"/>
      </w:pPr>
      <w:r>
        <w:rPr>
          <w:rFonts w:ascii="Arial" w:hAnsi="Arial"/>
          <w:b/>
          <w:color w:val="1E1B4B"/>
          <w:sz w:val="22"/>
        </w:rPr>
        <w:t>X.B. Nickname Equivalence Service</w:t>
      </w:r>
    </w:p>
    <w:p>
      <w:pPr>
        <w:spacing w:before="40" w:after="80"/>
        <w:jc w:val="both"/>
      </w:pPr>
      <w:r>
        <w:rPr>
          <w:rFonts w:ascii="Times New Roman" w:hAnsi="Times New Roman"/>
          <w:b w:val="0"/>
          <w:i w:val="0"/>
          <w:sz w:val="24"/>
        </w:rPr>
        <w:t>`NicknameService` maintains 90+ equivalence groups covering common English given names with international variants. Methods:</w:t>
      </w:r>
    </w:p>
    <w:p>
      <w:pPr>
        <w:pStyle w:val="ListBullet"/>
        <w:spacing w:before="20" w:after="20"/>
      </w:pPr>
      <w:r>
        <w:rPr>
          <w:rFonts w:ascii="Times New Roman" w:hAnsi="Times New Roman"/>
          <w:sz w:val="24"/>
        </w:rPr>
        <w:t>`variants(String firstName)`: Returns all equivalent forms including the input</w:t>
      </w:r>
    </w:p>
    <w:p>
      <w:pPr>
        <w:pStyle w:val="ListBullet"/>
        <w:spacing w:before="20" w:after="20"/>
      </w:pPr>
      <w:r>
        <w:rPr>
          <w:rFonts w:ascii="Times New Roman" w:hAnsi="Times New Roman"/>
          <w:sz w:val="24"/>
        </w:rPr>
        <w:t>`areEquivalent(String a, String b)`: Boolean equivalence test</w:t>
      </w:r>
    </w:p>
    <w:p>
      <w:pPr>
        <w:pStyle w:val="ListBullet"/>
        <w:spacing w:before="20" w:after="20"/>
      </w:pPr>
      <w:r>
        <w:rPr>
          <w:rFonts w:ascii="Times New Roman" w:hAnsi="Times New Roman"/>
          <w:sz w:val="24"/>
        </w:rPr>
        <w:t>`similarity(String a, String b)`: Returns 1.0 for equivalent names, 0.0 otherwise</w:t>
      </w:r>
    </w:p>
    <w:p>
      <w:pPr>
        <w:spacing w:before="40" w:after="80"/>
        <w:jc w:val="both"/>
      </w:pPr>
      <w:r>
        <w:rPr>
          <w:rFonts w:ascii="Times New Roman" w:hAnsi="Times New Roman"/>
          <w:b w:val="0"/>
          <w:i w:val="0"/>
          <w:sz w:val="24"/>
        </w:rPr>
        <w:t>The impact: `"Bob Smith"` and `"Robert Smith"` generate overlapping blocking keys (Strategy 1b) and score higher in the probabilistic matcher via the nickname similarity feature.</w:t>
      </w:r>
    </w:p>
    <w:p>
      <w:pPr>
        <w:pStyle w:val="Heading3"/>
      </w:pPr>
      <w:r>
        <w:t>XI. IN-APPLICATION TEST LABORATORY (NOVEL OPERATIONAL FEATURE)</w:t>
      </w:r>
    </w:p>
    <w:p>
      <w:pPr>
        <w:spacing w:before="40" w:after="80"/>
        <w:jc w:val="both"/>
      </w:pPr>
      <w:r>
        <w:rPr>
          <w:rFonts w:ascii="Times New Roman" w:hAnsi="Times New Roman"/>
          <w:b w:val="0"/>
          <w:i w:val="0"/>
          <w:sz w:val="24"/>
        </w:rPr>
        <w:t>The Averio MDM platform includes a built-in automated testing framework (`com.averio.mdm.testing`) that executes inside the live application against real infrastructure, enabling continuous verification without a separate testing environment.</w:t>
      </w:r>
    </w:p>
    <w:p>
      <w:pPr>
        <w:spacing w:before="40" w:after="40"/>
        <w:jc w:val="both"/>
      </w:pPr>
      <w:r>
        <w:rPr>
          <w:rFonts w:ascii="Times New Roman" w:hAnsi="Times New Roman"/>
          <w:b/>
          <w:i w:val="0"/>
          <w:sz w:val="24"/>
        </w:rPr>
        <w:t>Seven test suites:</w:t>
      </w:r>
    </w:p>
    <w:p>
      <w:pPr>
        <w:pStyle w:val="ListNumber"/>
        <w:spacing w:before="20" w:after="20"/>
      </w:pPr>
      <w:r>
        <w:rPr>
          <w:rFonts w:ascii="Times New Roman" w:hAnsi="Times New Roman"/>
          <w:sz w:val="24"/>
        </w:rPr>
        <w:t>API_HEALTH: Eight connectivity checks across all data stores and services</w:t>
      </w:r>
    </w:p>
    <w:p>
      <w:pPr>
        <w:pStyle w:val="ListNumber"/>
        <w:spacing w:before="20" w:after="20"/>
      </w:pPr>
      <w:r>
        <w:rPr>
          <w:rFonts w:ascii="Times New Roman" w:hAnsi="Times New Roman"/>
          <w:sz w:val="24"/>
        </w:rPr>
        <w:t>MATCHING: Seven in-memory matching algorithm tests (zero database I/O)</w:t>
      </w:r>
    </w:p>
    <w:p>
      <w:pPr>
        <w:pStyle w:val="ListNumber"/>
        <w:spacing w:before="20" w:after="20"/>
      </w:pPr>
      <w:r>
        <w:rPr>
          <w:rFonts w:ascii="Times New Roman" w:hAnsi="Times New Roman"/>
          <w:sz w:val="24"/>
        </w:rPr>
        <w:t>BLOCKING: Five blocking key and index operation tests (zero database I/O)</w:t>
      </w:r>
    </w:p>
    <w:p>
      <w:pPr>
        <w:pStyle w:val="ListNumber"/>
        <w:spacing w:before="20" w:after="20"/>
      </w:pPr>
      <w:r>
        <w:rPr>
          <w:rFonts w:ascii="Times New Roman" w:hAnsi="Times New Roman"/>
          <w:sz w:val="24"/>
        </w:rPr>
        <w:t>SURVIVORSHIP: Three survivorship rule application tests</w:t>
      </w:r>
    </w:p>
    <w:p>
      <w:pPr>
        <w:pStyle w:val="ListNumber"/>
        <w:spacing w:before="20" w:after="20"/>
      </w:pPr>
      <w:r>
        <w:rPr>
          <w:rFonts w:ascii="Times New Roman" w:hAnsi="Times New Roman"/>
          <w:sz w:val="24"/>
        </w:rPr>
        <w:t>GOLDEN_RECORD: Four golden record service tests with Cosmos DB persistence</w:t>
      </w:r>
    </w:p>
    <w:p>
      <w:pPr>
        <w:pStyle w:val="ListNumber"/>
        <w:spacing w:before="20" w:after="20"/>
      </w:pPr>
      <w:r>
        <w:rPr>
          <w:rFonts w:ascii="Times New Roman" w:hAnsi="Times New Roman"/>
          <w:sz w:val="24"/>
        </w:rPr>
        <w:t>TIMELINE: Four timeline event persistence and ordering tests with per-test cleanup</w:t>
      </w:r>
    </w:p>
    <w:p>
      <w:pPr>
        <w:pStyle w:val="ListNumber"/>
        <w:spacing w:before="20" w:after="20"/>
      </w:pPr>
      <w:r>
        <w:rPr>
          <w:rFonts w:ascii="Times New Roman" w:hAnsi="Times New Roman"/>
          <w:sz w:val="24"/>
        </w:rPr>
        <w:t>REGRESSION: Five end-to-end ingest pipeline scenarios with Neo4j + Cosmos DB persistence and automatic test data cleanup</w:t>
      </w:r>
    </w:p>
    <w:p>
      <w:pPr>
        <w:spacing w:before="40" w:after="80"/>
        <w:jc w:val="both"/>
      </w:pPr>
      <w:r>
        <w:rPr>
          <w:rFonts w:ascii="Times New Roman" w:hAnsi="Times New Roman"/>
          <w:b w:val="0"/>
          <w:i w:val="0"/>
          <w:sz w:val="24"/>
        </w:rPr>
        <w:t>All suite dependencies use `@Autowired(required=false)` with null-guard returning `SKIPPED` status for unavailable services, enabling partial test runs in degraded environments.</w:t>
      </w:r>
    </w:p>
    <w:p>
      <w:pPr>
        <w:spacing w:before="40" w:after="80"/>
        <w:jc w:val="both"/>
      </w:pPr>
      <w:r>
        <w:rPr>
          <w:rFonts w:ascii="Times New Roman" w:hAnsi="Times New Roman"/>
          <w:b w:val="0"/>
          <w:i w:val="0"/>
          <w:sz w:val="24"/>
        </w:rPr>
        <w:t>Test data is isolated via `sourceSystem = "TEST_LAB"` and `sourceSystemId = "TEST-{runId}-{seq}"` markers, with cleanup IDs tracked per result for targeted deletion.</w:t>
      </w:r>
    </w:p>
    <w:p>
      <w:pPr>
        <w:spacing w:before="80" w:after="80"/>
        <w:pBdr>
          <w:bottom w:val="single" w:sz="6" w:space="1" w:color="6B7280"/>
        </w:pBdr>
      </w:pPr>
    </w:p>
    <w:p>
      <w:pPr>
        <w:pStyle w:val="Heading2"/>
      </w:pPr>
      <w:r>
        <w:t>CLAIMS</w:t>
      </w:r>
    </w:p>
    <w:p>
      <w:pPr>
        <w:pStyle w:val="Heading3"/>
      </w:pPr>
      <w:r>
        <w:t>INDEPENDENT CLAIMS</w:t>
      </w:r>
    </w:p>
    <w:p>
      <w:pPr>
        <w:spacing w:before="40" w:after="80"/>
        <w:jc w:val="both"/>
      </w:pPr>
      <w:r>
        <w:rPr>
          <w:rFonts w:ascii="Times New Roman" w:hAnsi="Times New Roman"/>
          <w:b/>
          <w:sz w:val="24"/>
        </w:rPr>
        <w:t>Claim 1.</w:t>
      </w:r>
      <w:r>
        <w:rPr>
          <w:rFonts w:ascii="Times New Roman" w:hAnsi="Times New Roman"/>
          <w:sz w:val="24"/>
        </w:rPr>
        <w:t xml:space="preserve"> A computer-implemented method for entity resolution in an enterprise master data management system comprising:</w:t>
      </w:r>
    </w:p>
    <w:p>
      <w:pPr>
        <w:pStyle w:val="ListBullet"/>
        <w:spacing w:before="20" w:after="20"/>
      </w:pPr>
      <w:r>
        <w:rPr>
          <w:rFonts w:ascii="Times New Roman" w:hAnsi="Times New Roman"/>
          <w:sz w:val="24"/>
        </w:rPr>
        <w:t>receiving a party record from a source system, the party record comprising at least a name field and at least one identifier field;</w:t>
      </w:r>
    </w:p>
    <w:p>
      <w:pPr>
        <w:pStyle w:val="ListBullet"/>
        <w:spacing w:before="20" w:after="20"/>
      </w:pPr>
      <w:r>
        <w:rPr>
          <w:rFonts w:ascii="Times New Roman" w:hAnsi="Times New Roman"/>
          <w:sz w:val="24"/>
        </w:rPr>
        <w:t>generating a plurality of blocking keys from the party record using nine independent blocking key strategies applied in union, the strategies comprising: (a) phonetic encoding of individual name tokens; (b) nickname variant phonetic encoding; (c) full collapsed-name phonetic encoding; (d) first initial plus last-token phonetic encoding; (e) date-of-birth year-month plus name initial; (f) tax identifier prefix; (g) phone number suffix; (h) email domain plus name initial; and (i) exact high-cardinality organizational identifiers;</w:t>
      </w:r>
    </w:p>
    <w:p>
      <w:pPr>
        <w:pStyle w:val="ListBullet"/>
        <w:spacing w:before="20" w:after="20"/>
      </w:pPr>
      <w:r>
        <w:rPr>
          <w:rFonts w:ascii="Times New Roman" w:hAnsi="Times New Roman"/>
          <w:sz w:val="24"/>
        </w:rPr>
        <w:t>retrieving, from an inverted index, a candidate pool comprising all party records sharing at least one blocking key with the received party record;</w:t>
      </w:r>
    </w:p>
    <w:p>
      <w:pPr>
        <w:pStyle w:val="ListBullet"/>
        <w:spacing w:before="20" w:after="20"/>
      </w:pPr>
      <w:r>
        <w:rPr>
          <w:rFonts w:ascii="Times New Roman" w:hAnsi="Times New Roman"/>
          <w:sz w:val="24"/>
        </w:rPr>
        <w:t>scoring each candidate in the candidate pool using a probabilistic Fellegi-Sunter model parameterized by m-probabilities and u-probabilities that are automatically estimated by an Expectation-Maximization algorithm running on the same system without requiring human-labeled training pairs;</w:t>
      </w:r>
    </w:p>
    <w:p>
      <w:pPr>
        <w:pStyle w:val="ListBullet"/>
        <w:spacing w:before="20" w:after="20"/>
      </w:pPr>
      <w:r>
        <w:rPr>
          <w:rFonts w:ascii="Times New Roman" w:hAnsi="Times New Roman"/>
          <w:sz w:val="24"/>
        </w:rPr>
        <w:t>routing the top-scoring candidate to one of: auto-link, steward review, or new entity creation based on configurable threshold values; and</w:t>
      </w:r>
    </w:p>
    <w:p>
      <w:pPr>
        <w:pStyle w:val="ListBullet"/>
        <w:spacing w:before="20" w:after="20"/>
      </w:pPr>
      <w:r>
        <w:rPr>
          <w:rFonts w:ascii="Times New Roman" w:hAnsi="Times New Roman"/>
          <w:sz w:val="24"/>
        </w:rPr>
        <w:t>if routing to steward review, assigning a provisional globally unique golden identifier to the received party record before committing any database transaction, thereby eliminating a null golden identity state.</w:t>
      </w:r>
    </w:p>
    <w:p>
      <w:pPr>
        <w:spacing w:before="40" w:after="80"/>
        <w:jc w:val="both"/>
      </w:pPr>
      <w:r>
        <w:rPr>
          <w:rFonts w:ascii="Times New Roman" w:hAnsi="Times New Roman"/>
          <w:b/>
          <w:sz w:val="24"/>
        </w:rPr>
        <w:t>Claim 2.</w:t>
      </w:r>
      <w:r>
        <w:rPr>
          <w:rFonts w:ascii="Times New Roman" w:hAnsi="Times New Roman"/>
          <w:sz w:val="24"/>
        </w:rPr>
        <w:t xml:space="preserve"> A computer-implemented method for post-update cluster drift detection in an enterprise master data management system comprising:</w:t>
      </w:r>
    </w:p>
    <w:p>
      <w:pPr>
        <w:pStyle w:val="ListBullet"/>
        <w:spacing w:before="20" w:after="20"/>
      </w:pPr>
      <w:r>
        <w:rPr>
          <w:rFonts w:ascii="Times New Roman" w:hAnsi="Times New Roman"/>
          <w:sz w:val="24"/>
        </w:rPr>
        <w:t>detecting an attribute update operation on a party record that is a member of a golden cluster comprising a plurality of party records sharing a common golden record identifier;</w:t>
      </w:r>
    </w:p>
    <w:p>
      <w:pPr>
        <w:pStyle w:val="ListBullet"/>
        <w:spacing w:before="20" w:after="20"/>
      </w:pPr>
      <w:r>
        <w:rPr>
          <w:rFonts w:ascii="Times New Roman" w:hAnsi="Times New Roman"/>
          <w:sz w:val="24"/>
        </w:rPr>
        <w:t>in response to the detected update, computing match scores between the updated party record and all sibling party records in the golden cluster;</w:t>
      </w:r>
    </w:p>
    <w:p>
      <w:pPr>
        <w:pStyle w:val="ListBullet"/>
        <w:spacing w:before="20" w:after="20"/>
      </w:pPr>
      <w:r>
        <w:rPr>
          <w:rFonts w:ascii="Times New Roman" w:hAnsi="Times New Roman"/>
          <w:sz w:val="24"/>
        </w:rPr>
        <w:t>if the highest intra-cluster match score falls below a first threshold value, determining that statistical drift has occurred;</w:t>
      </w:r>
    </w:p>
    <w:p>
      <w:pPr>
        <w:pStyle w:val="ListBullet"/>
        <w:spacing w:before="20" w:after="20"/>
      </w:pPr>
      <w:r>
        <w:rPr>
          <w:rFonts w:ascii="Times New Roman" w:hAnsi="Times New Roman"/>
          <w:sz w:val="24"/>
        </w:rPr>
        <w:t>upon drift determination, executing a full blocking-key-indexed candidate search across all golden record clusters in the system to identify external candidate matches for the updated party record;</w:t>
      </w:r>
    </w:p>
    <w:p>
      <w:pPr>
        <w:pStyle w:val="ListBullet"/>
        <w:spacing w:before="20" w:after="20"/>
      </w:pPr>
      <w:r>
        <w:rPr>
          <w:rFonts w:ascii="Times New Roman" w:hAnsi="Times New Roman"/>
          <w:sz w:val="24"/>
        </w:rPr>
        <w:t>if an external candidate match score meets or exceeds a second threshold value, automatically reassigning the party record to the external candidate's golden cluster and recording first and second timeline events on the respective golden record identifiers; and</w:t>
      </w:r>
    </w:p>
    <w:p>
      <w:pPr>
        <w:pStyle w:val="ListBullet"/>
        <w:spacing w:before="20" w:after="20"/>
      </w:pPr>
      <w:r>
        <w:rPr>
          <w:rFonts w:ascii="Times New Roman" w:hAnsi="Times New Roman"/>
          <w:sz w:val="24"/>
        </w:rPr>
        <w:t>if no external match meets any threshold, detaching the party record from its current golden cluster and creating a new golden record identifier for the detached party, recording a detachment timeline event and a new golden creation timeline event.</w:t>
      </w:r>
    </w:p>
    <w:p>
      <w:pPr>
        <w:spacing w:before="40" w:after="80"/>
        <w:jc w:val="both"/>
      </w:pPr>
      <w:r>
        <w:rPr>
          <w:rFonts w:ascii="Times New Roman" w:hAnsi="Times New Roman"/>
          <w:b/>
          <w:sz w:val="24"/>
        </w:rPr>
        <w:t>Claim 3.</w:t>
      </w:r>
      <w:r>
        <w:rPr>
          <w:rFonts w:ascii="Times New Roman" w:hAnsi="Times New Roman"/>
          <w:sz w:val="24"/>
        </w:rPr>
        <w:t xml:space="preserve"> A system for self-calibrating probabilistic record linkage parameter estimation in a master data management platform comprising:</w:t>
      </w:r>
    </w:p>
    <w:p>
      <w:pPr>
        <w:pStyle w:val="ListBullet"/>
        <w:spacing w:before="20" w:after="20"/>
      </w:pPr>
      <w:r>
        <w:rPr>
          <w:rFonts w:ascii="Times New Roman" w:hAnsi="Times New Roman"/>
          <w:sz w:val="24"/>
        </w:rPr>
        <w:t>at least one processor executing an Expectation-Maximization algorithm that estimates, without labeled training data, m-probabilities representing the probability of attribute agreement given a true match and u-probabilities representing the probability of attribute agreement given a true non-match, for each of a plurality of entity attributes;</w:t>
      </w:r>
    </w:p>
    <w:p>
      <w:pPr>
        <w:pStyle w:val="ListBullet"/>
        <w:spacing w:before="20" w:after="20"/>
      </w:pPr>
      <w:r>
        <w:rPr>
          <w:rFonts w:ascii="Times New Roman" w:hAnsi="Times New Roman"/>
          <w:sz w:val="24"/>
        </w:rPr>
        <w:t>a parameter store maintaining estimated m-probability and u-probability vectors per party type with a timestamp indicating estimation time;</w:t>
      </w:r>
    </w:p>
    <w:p>
      <w:pPr>
        <w:pStyle w:val="ListBullet"/>
        <w:spacing w:before="20" w:after="20"/>
      </w:pPr>
      <w:r>
        <w:rPr>
          <w:rFonts w:ascii="Times New Roman" w:hAnsi="Times New Roman"/>
          <w:sz w:val="24"/>
        </w:rPr>
        <w:t>a sanity guard module that validates estimated parameters against domain constraints, reverting to prior values when estimated parameters fail validation;</w:t>
      </w:r>
    </w:p>
    <w:p>
      <w:pPr>
        <w:pStyle w:val="ListBullet"/>
        <w:spacing w:before="20" w:after="20"/>
      </w:pPr>
      <w:r>
        <w:rPr>
          <w:rFonts w:ascii="Times New Roman" w:hAnsi="Times New Roman"/>
          <w:sz w:val="24"/>
        </w:rPr>
        <w:t>a scheduler configured to trigger automatic re-estimation on a recurring schedule; and</w:t>
      </w:r>
    </w:p>
    <w:p>
      <w:pPr>
        <w:pStyle w:val="ListBullet"/>
        <w:spacing w:before="20" w:after="20"/>
      </w:pPr>
      <w:r>
        <w:rPr>
          <w:rFonts w:ascii="Times New Roman" w:hAnsi="Times New Roman"/>
          <w:sz w:val="24"/>
        </w:rPr>
        <w:t>a probabilistic scoring engine that incorporates the estimated parameters into Fellegi-Sunter log-likelihood ratio computations.</w:t>
      </w:r>
    </w:p>
    <w:p>
      <w:pPr>
        <w:spacing w:before="40" w:after="80"/>
        <w:jc w:val="both"/>
      </w:pPr>
      <w:r>
        <w:rPr>
          <w:rFonts w:ascii="Times New Roman" w:hAnsi="Times New Roman"/>
          <w:b/>
          <w:sz w:val="24"/>
        </w:rPr>
        <w:t>Claim 4.</w:t>
      </w:r>
      <w:r>
        <w:rPr>
          <w:rFonts w:ascii="Times New Roman" w:hAnsi="Times New Roman"/>
          <w:sz w:val="24"/>
        </w:rPr>
        <w:t xml:space="preserve"> A computer-implemented method for human-in-the-loop machine learning model maintenance in an entity resolution system comprising:</w:t>
      </w:r>
    </w:p>
    <w:p>
      <w:pPr>
        <w:pStyle w:val="ListBullet"/>
        <w:spacing w:before="20" w:after="20"/>
      </w:pPr>
      <w:r>
        <w:rPr>
          <w:rFonts w:ascii="Times New Roman" w:hAnsi="Times New Roman"/>
          <w:sz w:val="24"/>
        </w:rPr>
        <w:t>at a time of a human expert decision regarding a candidate record pair, capturing a feature vector representing current attribute comparison values between the two records;</w:t>
      </w:r>
    </w:p>
    <w:p>
      <w:pPr>
        <w:pStyle w:val="ListBullet"/>
        <w:spacing w:before="20" w:after="20"/>
      </w:pPr>
      <w:r>
        <w:rPr>
          <w:rFonts w:ascii="Times New Roman" w:hAnsi="Times New Roman"/>
          <w:sz w:val="24"/>
        </w:rPr>
        <w:t>persisting the captured feature vector with the human expert's match or no-match label as an immutable feedback record;</w:t>
      </w:r>
    </w:p>
    <w:p>
      <w:pPr>
        <w:pStyle w:val="ListBullet"/>
        <w:spacing w:before="20" w:after="20"/>
      </w:pPr>
      <w:r>
        <w:rPr>
          <w:rFonts w:ascii="Times New Roman" w:hAnsi="Times New Roman"/>
          <w:sz w:val="24"/>
        </w:rPr>
        <w:t>upon accumulation of a threshold count of feedback records, automatically retraining a logistic regression model using the stored feature vectors and labels;</w:t>
      </w:r>
    </w:p>
    <w:p>
      <w:pPr>
        <w:pStyle w:val="ListBullet"/>
        <w:spacing w:before="20" w:after="20"/>
      </w:pPr>
      <w:r>
        <w:rPr>
          <w:rFonts w:ascii="Times New Roman" w:hAnsi="Times New Roman"/>
          <w:sz w:val="24"/>
        </w:rPr>
        <w:t>computing trained model performance metrics including accuracy, precision, recall, and F1 score; and</w:t>
      </w:r>
    </w:p>
    <w:p>
      <w:pPr>
        <w:pStyle w:val="ListBullet"/>
        <w:spacing w:before="20" w:after="20"/>
      </w:pPr>
      <w:r>
        <w:rPr>
          <w:rFonts w:ascii="Times New Roman" w:hAnsi="Times New Roman"/>
          <w:sz w:val="24"/>
        </w:rPr>
        <w:t>replacing the active scoring model with the retrained model if performance metrics meet minimum acceptance criteria.</w:t>
      </w:r>
    </w:p>
    <w:p>
      <w:pPr>
        <w:spacing w:before="40" w:after="80"/>
        <w:jc w:val="both"/>
      </w:pPr>
      <w:r>
        <w:rPr>
          <w:rFonts w:ascii="Times New Roman" w:hAnsi="Times New Roman"/>
          <w:b/>
          <w:sz w:val="24"/>
        </w:rPr>
        <w:t>Claim 5.</w:t>
      </w:r>
      <w:r>
        <w:rPr>
          <w:rFonts w:ascii="Times New Roman" w:hAnsi="Times New Roman"/>
          <w:sz w:val="24"/>
        </w:rPr>
        <w:t xml:space="preserve"> A computer-implemented method for provisional identity assignment in a master data management system comprising:</w:t>
      </w:r>
    </w:p>
    <w:p>
      <w:pPr>
        <w:pStyle w:val="ListBullet"/>
        <w:spacing w:before="20" w:after="20"/>
      </w:pPr>
      <w:r>
        <w:rPr>
          <w:rFonts w:ascii="Times New Roman" w:hAnsi="Times New Roman"/>
          <w:sz w:val="24"/>
        </w:rPr>
        <w:t>receiving an entity record requiring human expert review before permanent golden cluster assignment;</w:t>
      </w:r>
    </w:p>
    <w:p>
      <w:pPr>
        <w:pStyle w:val="ListBullet"/>
        <w:spacing w:before="20" w:after="20"/>
      </w:pPr>
      <w:r>
        <w:rPr>
          <w:rFonts w:ascii="Times New Roman" w:hAnsi="Times New Roman"/>
          <w:sz w:val="24"/>
        </w:rPr>
        <w:t>prior to any human expert review, generating a provisional globally unique identifier for the entity record;</w:t>
      </w:r>
    </w:p>
    <w:p>
      <w:pPr>
        <w:pStyle w:val="ListBullet"/>
        <w:spacing w:before="20" w:after="20"/>
      </w:pPr>
      <w:r>
        <w:rPr>
          <w:rFonts w:ascii="Times New Roman" w:hAnsi="Times New Roman"/>
          <w:sz w:val="24"/>
        </w:rPr>
        <w:t>creating a complete golden record associated with the provisional identifier, comprising survivorship-rule-applied attribute values derived from the single entity record;</w:t>
      </w:r>
    </w:p>
    <w:p>
      <w:pPr>
        <w:pStyle w:val="ListBullet"/>
        <w:spacing w:before="20" w:after="20"/>
      </w:pPr>
      <w:r>
        <w:rPr>
          <w:rFonts w:ascii="Times New Roman" w:hAnsi="Times New Roman"/>
          <w:sz w:val="24"/>
        </w:rPr>
        <w:t>indexing the entity record in a blocking index using the provisional golden identifier;</w:t>
      </w:r>
    </w:p>
    <w:p>
      <w:pPr>
        <w:pStyle w:val="ListBullet"/>
        <w:spacing w:before="20" w:after="20"/>
      </w:pPr>
      <w:r>
        <w:rPr>
          <w:rFonts w:ascii="Times New Roman" w:hAnsi="Times New Roman"/>
          <w:sz w:val="24"/>
        </w:rPr>
        <w:t>making the entity record available to downstream applications via the provisional golden identifier during the entire review period;</w:t>
      </w:r>
    </w:p>
    <w:p>
      <w:pPr>
        <w:pStyle w:val="ListBullet"/>
        <w:spacing w:before="20" w:after="20"/>
      </w:pPr>
      <w:r>
        <w:rPr>
          <w:rFonts w:ascii="Times New Roman" w:hAnsi="Times New Roman"/>
          <w:sz w:val="24"/>
        </w:rPr>
        <w:t>upon human expert approval of a merge with a candidate cluster, migrating the entity record to the candidate cluster's golden identifier and retiring the provisional identifier; and</w:t>
      </w:r>
    </w:p>
    <w:p>
      <w:pPr>
        <w:pStyle w:val="ListBullet"/>
        <w:spacing w:before="20" w:after="20"/>
      </w:pPr>
      <w:r>
        <w:rPr>
          <w:rFonts w:ascii="Times New Roman" w:hAnsi="Times New Roman"/>
          <w:sz w:val="24"/>
        </w:rPr>
        <w:t>upon human expert rejection of all proposed merges, promoting the provisional golden identifier to a permanent golden identifier without any additional operations.</w:t>
      </w:r>
    </w:p>
    <w:p>
      <w:pPr>
        <w:pStyle w:val="Heading3"/>
      </w:pPr>
      <w:r>
        <w:t>DEPENDENT CLAIMS</w:t>
      </w:r>
    </w:p>
    <w:p>
      <w:pPr>
        <w:spacing w:before="40" w:after="80"/>
        <w:jc w:val="both"/>
      </w:pPr>
      <w:r>
        <w:rPr>
          <w:rFonts w:ascii="Times New Roman" w:hAnsi="Times New Roman"/>
          <w:b/>
          <w:sz w:val="24"/>
        </w:rPr>
        <w:t>Claim 6.</w:t>
      </w:r>
      <w:r>
        <w:rPr>
          <w:rFonts w:ascii="Times New Roman" w:hAnsi="Times New Roman"/>
          <w:sz w:val="24"/>
        </w:rPr>
        <w:t xml:space="preserve"> The method of Claim 1, wherein the probabilistic scoring further comprises a third AI-enhancement stage that is conditionally invoked when the probabilistic score falls within a predetermined ambiguous range, the AI-enhancement stage comprising: constructing a structured prompt containing attribute data from both party records; submitting the prompt to a large language model; parsing a numeric score from the model response; and computing a final blended score as a weighted combination of the probabilistic score and the AI score.</w:t>
      </w:r>
    </w:p>
    <w:p>
      <w:pPr>
        <w:spacing w:before="40" w:after="80"/>
        <w:jc w:val="both"/>
      </w:pPr>
      <w:r>
        <w:rPr>
          <w:rFonts w:ascii="Times New Roman" w:hAnsi="Times New Roman"/>
          <w:b/>
          <w:sz w:val="24"/>
        </w:rPr>
        <w:t>Claim 7.</w:t>
      </w:r>
      <w:r>
        <w:rPr>
          <w:rFonts w:ascii="Times New Roman" w:hAnsi="Times New Roman"/>
          <w:sz w:val="24"/>
        </w:rPr>
        <w:t xml:space="preserve"> The method of Claim 1, wherein generating blocking keys using nickname variant phonetic encoding comprises: looking up a given name in a pre-stored table of equivalence groups, each group comprising a canonical name and all culturally and historically equivalent variant names; and generating a phonetic blocking key for each variant name in the matching equivalence group.</w:t>
      </w:r>
    </w:p>
    <w:p>
      <w:pPr>
        <w:spacing w:before="40" w:after="80"/>
        <w:jc w:val="both"/>
      </w:pPr>
      <w:r>
        <w:rPr>
          <w:rFonts w:ascii="Times New Roman" w:hAnsi="Times New Roman"/>
          <w:b/>
          <w:sz w:val="24"/>
        </w:rPr>
        <w:t>Claim 8.</w:t>
      </w:r>
      <w:r>
        <w:rPr>
          <w:rFonts w:ascii="Times New Roman" w:hAnsi="Times New Roman"/>
          <w:sz w:val="24"/>
        </w:rPr>
        <w:t xml:space="preserve"> The method of Claim 1, wherein the inverted index is maintained in a first concurrent hash map mapping blocking key strings to sets of global identifiers, and a forward index is maintained in a second concurrent hash map mapping global identifiers to sets of blocking key strings, enabling O(1) removal of all blocking index entries for a party record upon deletion or merge.</w:t>
      </w:r>
    </w:p>
    <w:p>
      <w:pPr>
        <w:spacing w:before="40" w:after="80"/>
        <w:jc w:val="both"/>
      </w:pPr>
      <w:r>
        <w:rPr>
          <w:rFonts w:ascii="Times New Roman" w:hAnsi="Times New Roman"/>
          <w:b/>
          <w:sz w:val="24"/>
        </w:rPr>
        <w:t>Claim 9.</w:t>
      </w:r>
      <w:r>
        <w:rPr>
          <w:rFonts w:ascii="Times New Roman" w:hAnsi="Times New Roman"/>
          <w:sz w:val="24"/>
        </w:rPr>
        <w:t xml:space="preserve"> The method of Claim 2, wherein the timeline events comprise structured documents persisted to a distributed document database partitioned by golden record identifier, each document comprising: an event type identifier; a previous state representation; a new state representation; a timestamp; an actor identifier; and a map of event-specific metadata.</w:t>
      </w:r>
    </w:p>
    <w:p>
      <w:pPr>
        <w:spacing w:before="40" w:after="80"/>
        <w:jc w:val="both"/>
      </w:pPr>
      <w:r>
        <w:rPr>
          <w:rFonts w:ascii="Times New Roman" w:hAnsi="Times New Roman"/>
          <w:b/>
          <w:sz w:val="24"/>
        </w:rPr>
        <w:t>Claim 10.</w:t>
      </w:r>
      <w:r>
        <w:rPr>
          <w:rFonts w:ascii="Times New Roman" w:hAnsi="Times New Roman"/>
          <w:sz w:val="24"/>
        </w:rPr>
        <w:t xml:space="preserve"> The method of Claim 3, wherein the Expectation-Maximization algorithm comprises: drawing a random sample of party record pairs from a graph database; computing a binary agreement vector for each pair across ten attributes; in an E-step, computing posterior match probabilities using numerically stable log-space computation with a maximum-log offset to prevent floating-point underflow; and in an M-step, updating m and u estimates as posterior-weighted averages of agreement indicators.</w:t>
      </w:r>
    </w:p>
    <w:p>
      <w:pPr>
        <w:spacing w:before="40" w:after="80"/>
        <w:jc w:val="both"/>
      </w:pPr>
      <w:r>
        <w:rPr>
          <w:rFonts w:ascii="Times New Roman" w:hAnsi="Times New Roman"/>
          <w:b/>
          <w:sz w:val="24"/>
        </w:rPr>
        <w:t>Claim 11.</w:t>
      </w:r>
      <w:r>
        <w:rPr>
          <w:rFonts w:ascii="Times New Roman" w:hAnsi="Times New Roman"/>
          <w:sz w:val="24"/>
        </w:rPr>
        <w:t xml:space="preserve"> The system of Claim 3, further comprising: a query-time survivorship rule engine that assembles a golden record from underlying source records at retrieval time by applying one of: source priority ordering; most-recent timestamp selection; majority vote across sources; supremacy source designation; first non-null value selection; or longest string selection per attribute; wherein the assembled golden record is not pre-computed but is generated fresh on each retrieval, enabling rule configuration changes to take effect immediately.</w:t>
      </w:r>
    </w:p>
    <w:p>
      <w:pPr>
        <w:spacing w:before="40" w:after="80"/>
        <w:jc w:val="both"/>
      </w:pPr>
      <w:r>
        <w:rPr>
          <w:rFonts w:ascii="Times New Roman" w:hAnsi="Times New Roman"/>
          <w:b/>
          <w:sz w:val="24"/>
        </w:rPr>
        <w:t>Claim 12.</w:t>
      </w:r>
      <w:r>
        <w:rPr>
          <w:rFonts w:ascii="Times New Roman" w:hAnsi="Times New Roman"/>
          <w:sz w:val="24"/>
        </w:rPr>
        <w:t xml:space="preserve"> The method of Claim 4, wherein the feature vector captures attribute comparison values at the time of human expert decision rather than at training time, preserving the statistical basis for the decision independent of subsequent record mutations.</w:t>
      </w:r>
    </w:p>
    <w:p>
      <w:pPr>
        <w:spacing w:before="40" w:after="80"/>
        <w:jc w:val="both"/>
      </w:pPr>
      <w:r>
        <w:rPr>
          <w:rFonts w:ascii="Times New Roman" w:hAnsi="Times New Roman"/>
          <w:b/>
          <w:sz w:val="24"/>
        </w:rPr>
        <w:t>Claim 13.</w:t>
      </w:r>
      <w:r>
        <w:rPr>
          <w:rFonts w:ascii="Times New Roman" w:hAnsi="Times New Roman"/>
          <w:sz w:val="24"/>
        </w:rPr>
        <w:t xml:space="preserve"> The method of Claim 5, wherein the provisional golden identifier is assigned using a random number generator producing a zero-padded fixed-length numeric string, and wherein a client-supplied identifier in any format may optionally override the auto-generated identifier during migration from legacy systems.</w:t>
      </w:r>
    </w:p>
    <w:p>
      <w:pPr>
        <w:spacing w:before="40" w:after="80"/>
        <w:jc w:val="both"/>
      </w:pPr>
      <w:r>
        <w:rPr>
          <w:rFonts w:ascii="Times New Roman" w:hAnsi="Times New Roman"/>
          <w:b/>
          <w:sz w:val="24"/>
        </w:rPr>
        <w:t>Claim 14.</w:t>
      </w:r>
      <w:r>
        <w:rPr>
          <w:rFonts w:ascii="Times New Roman" w:hAnsi="Times New Roman"/>
          <w:sz w:val="24"/>
        </w:rPr>
        <w:t xml:space="preserve"> A computer-implemented method for transitive entity cluster formation comprising: computing pairwise match scores between entity records to produce a set of pairs above a link threshold; applying a Union-Find algorithm with path compression and union-by-rank to identify transitive closure clusters; wherein any two records that are transitively connected through any chain of pairwise matches are assigned to the same golden cluster regardless of whether they have been directly compared.</w:t>
      </w:r>
    </w:p>
    <w:p>
      <w:pPr>
        <w:spacing w:before="40" w:after="80"/>
        <w:jc w:val="both"/>
      </w:pPr>
      <w:r>
        <w:rPr>
          <w:rFonts w:ascii="Times New Roman" w:hAnsi="Times New Roman"/>
          <w:b/>
          <w:sz w:val="24"/>
        </w:rPr>
        <w:t>Claim 15.</w:t>
      </w:r>
      <w:r>
        <w:rPr>
          <w:rFonts w:ascii="Times New Roman" w:hAnsi="Times New Roman"/>
          <w:sz w:val="24"/>
        </w:rPr>
        <w:t xml:space="preserve"> The method of Claim 1, wherein the probabilistic scoring applies twenty or more similarity algorithms to entity attributes, the algorithms comprising at least: Jaro-Winkler similarity; token sort ratio; token set ratio; bigram Jaccard similarity; trigram Jaccard similarity; Damerau-Levenshtein optimal string alignment distance; Double Metaphone phonetic encoding; TF-IDF cosine similarity over character n-gram vectors; and nickname equivalence lookup; wherein multiple algorithm outputs are combined per attribute using Fellegi-Sunter log-likelihood weighting.</w:t>
      </w:r>
    </w:p>
    <w:p>
      <w:pPr>
        <w:spacing w:before="80" w:after="80"/>
        <w:pBdr>
          <w:bottom w:val="single" w:sz="6" w:space="1" w:color="6B7280"/>
        </w:pBdr>
      </w:pPr>
    </w:p>
    <w:p>
      <w:pPr>
        <w:pStyle w:val="Heading2"/>
      </w:pPr>
      <w:r>
        <w:t>ABSTRACT</w:t>
      </w:r>
    </w:p>
    <w:p>
      <w:pPr>
        <w:spacing w:before="40" w:after="80"/>
        <w:jc w:val="both"/>
      </w:pPr>
      <w:r>
        <w:rPr>
          <w:rFonts w:ascii="Times New Roman" w:hAnsi="Times New Roman"/>
          <w:b w:val="0"/>
          <w:i w:val="0"/>
          <w:sz w:val="24"/>
        </w:rPr>
        <w:t>An enterprise Master Data Management (MDM) platform implements adaptive entity resolution through five novel technical innovations. First, a nine-strategy union blocking engine generates blocking keys using phonetic encoding, nickname expansion, date-of-birth hashing, identifier prefixes, geographic encoding, and exact identifier matching applied in union, reducing pairwise comparison complexity from O(N²) to O(N×k). Second, a self-calibrating Expectation-Maximization algorithm autonomously estimates Fellegi-Sunter m and u probability parameters from unlabeled data on a recurring schedule, eliminating manual calibration. Third, a three-stage cascading match pipeline combines deterministic, probabilistic, and AI-enhanced (Large Language Model) matching with threshold-driven routing to auto-link, steward review, or new entity creation. Fourth, a provisional golden identity management system assigns a globally unique identifier to every party record before any database commit — including records pending steward review — eliminating the null golden state condition present in all prior-art MDM systems and guaranteeing continuous downstream data availability. Fifth, a post-update cluster drift detector re-evaluates party cluster membership after every attribute update, automatically reassigning, escalating to steward review, or detaching to a new cluster when statistical drift is confirmed. All cluster membership changes are recorded as immutable timeline events enabling full audit trail reconstruction and compliance reporting.</w:t>
      </w:r>
    </w:p>
    <w:p>
      <w:pPr>
        <w:spacing w:before="80" w:after="80"/>
        <w:pBdr>
          <w:bottom w:val="single" w:sz="6" w:space="1" w:color="6B7280"/>
        </w:pBdr>
      </w:pPr>
    </w:p>
    <w:p>
      <w:pPr>
        <w:pStyle w:val="Heading2"/>
      </w:pPr>
      <w:r>
        <w:t>SEQUENCE LISTING / COMPUTER PROGRAM LISTINGS</w:t>
      </w:r>
    </w:p>
    <w:p>
      <w:pPr>
        <w:spacing w:before="40" w:after="80"/>
        <w:jc w:val="both"/>
      </w:pPr>
      <w:r>
        <w:rPr>
          <w:rFonts w:ascii="Times New Roman" w:hAnsi="Times New Roman"/>
          <w:b w:val="0"/>
          <w:i w:val="0"/>
          <w:sz w:val="24"/>
        </w:rPr>
        <w:t>Computer program listings for the key algorithmic innovations are appended as Exhibits A through G:</w:t>
      </w:r>
    </w:p>
    <w:p>
      <w:pPr>
        <w:pStyle w:val="ListBullet"/>
        <w:spacing w:before="20" w:after="20"/>
      </w:pPr>
      <w:r>
        <w:rPr>
          <w:rFonts w:ascii="Times New Roman" w:hAnsi="Times New Roman"/>
          <w:sz w:val="24"/>
        </w:rPr>
        <w:t>Exhibit A: `BlockingKeyService.java` — Nine-strategy blocking key generation</w:t>
      </w:r>
    </w:p>
    <w:p>
      <w:pPr>
        <w:pStyle w:val="ListBullet"/>
        <w:spacing w:before="20" w:after="20"/>
      </w:pPr>
      <w:r>
        <w:rPr>
          <w:rFonts w:ascii="Times New Roman" w:hAnsi="Times New Roman"/>
          <w:sz w:val="24"/>
        </w:rPr>
        <w:t>Exhibit B: `EMAlgorithmService.java` — Expectation-Maximization parameter estimation</w:t>
      </w:r>
    </w:p>
    <w:p>
      <w:pPr>
        <w:pStyle w:val="ListBullet"/>
        <w:spacing w:before="20" w:after="20"/>
      </w:pPr>
      <w:r>
        <w:rPr>
          <w:rFonts w:ascii="Times New Roman" w:hAnsi="Times New Roman"/>
          <w:sz w:val="24"/>
        </w:rPr>
        <w:t>Exhibit C: `MatchingEngine.java` — Three-stage cascading match pipeline</w:t>
      </w:r>
    </w:p>
    <w:p>
      <w:pPr>
        <w:pStyle w:val="ListBullet"/>
        <w:spacing w:before="20" w:after="20"/>
      </w:pPr>
      <w:r>
        <w:rPr>
          <w:rFonts w:ascii="Times New Roman" w:hAnsi="Times New Roman"/>
          <w:sz w:val="24"/>
        </w:rPr>
        <w:t>Exhibit D: `ProbabilisticMatcher.java` — Fellegi-Sunter probabilistic scorer</w:t>
      </w:r>
    </w:p>
    <w:p>
      <w:pPr>
        <w:pStyle w:val="ListBullet"/>
        <w:spacing w:before="20" w:after="20"/>
      </w:pPr>
      <w:r>
        <w:rPr>
          <w:rFonts w:ascii="Times New Roman" w:hAnsi="Times New Roman"/>
          <w:sz w:val="24"/>
        </w:rPr>
        <w:t>Exhibit E: `PartyService.java` — Ingest pipeline and drift detection</w:t>
      </w:r>
    </w:p>
    <w:p>
      <w:pPr>
        <w:pStyle w:val="ListBullet"/>
        <w:spacing w:before="20" w:after="20"/>
      </w:pPr>
      <w:r>
        <w:rPr>
          <w:rFonts w:ascii="Times New Roman" w:hAnsi="Times New Roman"/>
          <w:sz w:val="24"/>
        </w:rPr>
        <w:t>Exhibit F: `GoldenRecordService.java` — Query-time survivorship assembly</w:t>
      </w:r>
    </w:p>
    <w:p>
      <w:pPr>
        <w:pStyle w:val="ListBullet"/>
        <w:spacing w:before="20" w:after="20"/>
      </w:pPr>
      <w:r>
        <w:rPr>
          <w:rFonts w:ascii="Times New Roman" w:hAnsi="Times New Roman"/>
          <w:sz w:val="24"/>
        </w:rPr>
        <w:t>Exhibit G: `MLMatchingService.java` — Human-in-the-loop logistic regression</w:t>
      </w:r>
    </w:p>
    <w:p>
      <w:pPr>
        <w:spacing w:before="80" w:after="80"/>
        <w:pBdr>
          <w:bottom w:val="single" w:sz="6" w:space="1" w:color="6B7280"/>
        </w:pBdr>
      </w:pPr>
    </w:p>
    <w:p>
      <w:pPr>
        <w:pStyle w:val="Heading2"/>
      </w:pPr>
      <w:r>
        <w:t>INVENTOR DECLARATION</w:t>
      </w:r>
    </w:p>
    <w:p>
      <w:pPr>
        <w:spacing w:before="40" w:after="80"/>
        <w:jc w:val="both"/>
      </w:pPr>
      <w:r>
        <w:rPr>
          <w:rFonts w:ascii="Times New Roman" w:hAnsi="Times New Roman"/>
          <w:b w:val="0"/>
          <w:i w:val="0"/>
          <w:sz w:val="24"/>
        </w:rPr>
        <w:t>I hereby declare that:</w:t>
      </w:r>
    </w:p>
    <w:p>
      <w:pPr>
        <w:spacing w:before="40" w:after="80"/>
        <w:jc w:val="both"/>
      </w:pPr>
      <w:r>
        <w:rPr>
          <w:rFonts w:ascii="Times New Roman" w:hAnsi="Times New Roman"/>
          <w:b w:val="0"/>
          <w:i w:val="0"/>
          <w:sz w:val="24"/>
        </w:rPr>
        <w:t>(a) Each undersigned inventor believes the named inventors are the original and first inventors of the subject matter which is claimed and for which a patent is sought on the invention titled:</w:t>
      </w:r>
    </w:p>
    <w:p>
      <w:pPr>
        <w:spacing w:before="40" w:after="40"/>
        <w:jc w:val="both"/>
      </w:pPr>
      <w:r>
        <w:rPr>
          <w:rFonts w:ascii="Times New Roman" w:hAnsi="Times New Roman"/>
          <w:b/>
          <w:i w:val="0"/>
          <w:sz w:val="24"/>
        </w:rPr>
        <w:t>"ADAPTIVE MULTI-STRATEGY ENTITY RESOLUTION SYSTEM WITH PROBABILISTIC CLUSTER DRIFT DETECTION, PROVISIONAL GOLDEN IDENTITY MANAGEMENT, AND SELF-CALIBRATING FELLEGI-SUNTER PARAMETER ESTIMATION FOR ENTERPRISE MASTER DATA MANAGEMENT"</w:t>
      </w:r>
    </w:p>
    <w:p>
      <w:pPr>
        <w:spacing w:before="40" w:after="80"/>
        <w:jc w:val="both"/>
      </w:pPr>
      <w:r>
        <w:rPr>
          <w:rFonts w:ascii="Times New Roman" w:hAnsi="Times New Roman"/>
          <w:b w:val="0"/>
          <w:i w:val="0"/>
          <w:sz w:val="24"/>
        </w:rPr>
        <w:t>(b) The undersigned inventors acknowledge the duty to disclose information that is material to patentability as defined in 37 C.F.R. § 1.56.</w:t>
      </w:r>
    </w:p>
    <w:p>
      <w:pPr>
        <w:spacing w:before="40" w:after="40"/>
        <w:jc w:val="both"/>
      </w:pPr>
      <w:r>
        <w:rPr>
          <w:rFonts w:ascii="Times New Roman" w:hAnsi="Times New Roman"/>
          <w:b/>
          <w:i w:val="0"/>
          <w:sz w:val="24"/>
        </w:rPr>
        <w:t>Inventor 1:</w:t>
      </w:r>
    </w:p>
    <w:p>
      <w:pPr>
        <w:spacing w:before="40" w:after="80"/>
        <w:jc w:val="both"/>
      </w:pPr>
      <w:r>
        <w:rPr>
          <w:rFonts w:ascii="Times New Roman" w:hAnsi="Times New Roman"/>
          <w:b w:val="0"/>
          <w:i w:val="0"/>
          <w:sz w:val="24"/>
        </w:rPr>
        <w:t>Name: Suvojeet Pal</w:t>
      </w:r>
    </w:p>
    <w:p>
      <w:pPr>
        <w:spacing w:before="40" w:after="80"/>
        <w:jc w:val="both"/>
      </w:pPr>
      <w:r>
        <w:rPr>
          <w:rFonts w:ascii="Times New Roman" w:hAnsi="Times New Roman"/>
          <w:b w:val="0"/>
          <w:i w:val="0"/>
          <w:sz w:val="24"/>
        </w:rPr>
        <w:t>Residence: [Address]</w:t>
      </w:r>
    </w:p>
    <w:p>
      <w:pPr>
        <w:spacing w:before="40" w:after="80"/>
        <w:jc w:val="both"/>
      </w:pPr>
      <w:r>
        <w:rPr>
          <w:rFonts w:ascii="Times New Roman" w:hAnsi="Times New Roman"/>
          <w:b w:val="0"/>
          <w:i w:val="0"/>
          <w:sz w:val="24"/>
        </w:rPr>
        <w:t>Citizenship: [Citizenship]</w:t>
      </w:r>
    </w:p>
    <w:p>
      <w:pPr>
        <w:spacing w:before="40" w:after="80"/>
        <w:jc w:val="both"/>
      </w:pPr>
      <w:r>
        <w:rPr>
          <w:rFonts w:ascii="Times New Roman" w:hAnsi="Times New Roman"/>
          <w:b w:val="0"/>
          <w:i w:val="0"/>
          <w:sz w:val="24"/>
        </w:rPr>
        <w:t>Signature: ____________________  Date: ____________</w:t>
      </w:r>
    </w:p>
    <w:p>
      <w:pPr>
        <w:spacing w:before="40" w:after="40"/>
        <w:jc w:val="both"/>
      </w:pPr>
      <w:r>
        <w:rPr>
          <w:rFonts w:ascii="Times New Roman" w:hAnsi="Times New Roman"/>
          <w:b/>
          <w:i w:val="0"/>
          <w:sz w:val="24"/>
        </w:rPr>
        <w:t>Inventor 2:</w:t>
      </w:r>
    </w:p>
    <w:p>
      <w:pPr>
        <w:spacing w:before="40" w:after="80"/>
        <w:jc w:val="both"/>
      </w:pPr>
      <w:r>
        <w:rPr>
          <w:rFonts w:ascii="Times New Roman" w:hAnsi="Times New Roman"/>
          <w:b w:val="0"/>
          <w:i w:val="0"/>
          <w:sz w:val="24"/>
        </w:rPr>
        <w:t>Name: Rakhi Chatterjee</w:t>
      </w:r>
    </w:p>
    <w:p>
      <w:pPr>
        <w:spacing w:before="40" w:after="80"/>
        <w:jc w:val="both"/>
      </w:pPr>
      <w:r>
        <w:rPr>
          <w:rFonts w:ascii="Times New Roman" w:hAnsi="Times New Roman"/>
          <w:b w:val="0"/>
          <w:i w:val="0"/>
          <w:sz w:val="24"/>
        </w:rPr>
        <w:t>Residence: [Address]</w:t>
      </w:r>
    </w:p>
    <w:p>
      <w:pPr>
        <w:spacing w:before="40" w:after="80"/>
        <w:jc w:val="both"/>
      </w:pPr>
      <w:r>
        <w:rPr>
          <w:rFonts w:ascii="Times New Roman" w:hAnsi="Times New Roman"/>
          <w:b w:val="0"/>
          <w:i w:val="0"/>
          <w:sz w:val="24"/>
        </w:rPr>
        <w:t>Citizenship: [Citizenship]</w:t>
      </w:r>
    </w:p>
    <w:p>
      <w:pPr>
        <w:spacing w:before="40" w:after="80"/>
        <w:jc w:val="both"/>
      </w:pPr>
      <w:r>
        <w:rPr>
          <w:rFonts w:ascii="Times New Roman" w:hAnsi="Times New Roman"/>
          <w:b w:val="0"/>
          <w:i w:val="0"/>
          <w:sz w:val="24"/>
        </w:rPr>
        <w:t>Signature: ____________________  Date: ____________</w:t>
      </w:r>
    </w:p>
    <w:p>
      <w:pPr>
        <w:spacing w:before="80" w:after="80"/>
        <w:pBdr>
          <w:bottom w:val="single" w:sz="6" w:space="1" w:color="6B7280"/>
        </w:pBdr>
      </w:pPr>
    </w:p>
    <w:p>
      <w:pPr>
        <w:pStyle w:val="Heading2"/>
      </w:pPr>
      <w:r>
        <w:t>INFORMATION DISCLOSURE STATEMENT (IDS) — PRIOR ART</w:t>
      </w:r>
    </w:p>
    <w:p>
      <w:pPr>
        <w:spacing w:before="40" w:after="80"/>
        <w:jc w:val="both"/>
      </w:pPr>
      <w:r>
        <w:rPr>
          <w:rFonts w:ascii="Times New Roman" w:hAnsi="Times New Roman"/>
          <w:b w:val="0"/>
          <w:i w:val="0"/>
          <w:sz w:val="24"/>
        </w:rPr>
        <w:t>The following prior art is disclosed for examiner consideration:</w:t>
      </w:r>
    </w:p>
    <w:p>
      <w:pPr>
        <w:pStyle w:val="Heading3"/>
      </w:pPr>
      <w:r>
        <w:t>U.S. Patents</w:t>
      </w:r>
    </w:p>
    <w:p>
      <w:pPr>
        <w:pStyle w:val="ListBullet"/>
        <w:spacing w:before="20" w:after="20"/>
      </w:pPr>
      <w:r>
        <w:rPr>
          <w:rFonts w:ascii="Times New Roman" w:hAnsi="Times New Roman"/>
          <w:sz w:val="24"/>
        </w:rPr>
        <w:t>US 7,853,573 B2 — "System and method for data integration" (IBM InfoSphere)</w:t>
      </w:r>
    </w:p>
    <w:p>
      <w:pPr>
        <w:pStyle w:val="ListBullet"/>
        <w:spacing w:before="20" w:after="20"/>
      </w:pPr>
      <w:r>
        <w:rPr>
          <w:rFonts w:ascii="Times New Roman" w:hAnsi="Times New Roman"/>
          <w:sz w:val="24"/>
        </w:rPr>
        <w:t>US 8,285,719 B2 — "Entity resolution in master data management"</w:t>
      </w:r>
    </w:p>
    <w:p>
      <w:pPr>
        <w:pStyle w:val="ListBullet"/>
        <w:spacing w:before="20" w:after="20"/>
      </w:pPr>
      <w:r>
        <w:rPr>
          <w:rFonts w:ascii="Times New Roman" w:hAnsi="Times New Roman"/>
          <w:sz w:val="24"/>
        </w:rPr>
        <w:t>US 9,330,169 B2 — "Probabilistic record linkage with feedback learning"</w:t>
      </w:r>
    </w:p>
    <w:p>
      <w:pPr>
        <w:pStyle w:val="ListBullet"/>
        <w:spacing w:before="20" w:after="20"/>
      </w:pPr>
      <w:r>
        <w:rPr>
          <w:rFonts w:ascii="Times New Roman" w:hAnsi="Times New Roman"/>
          <w:sz w:val="24"/>
        </w:rPr>
        <w:t>US 10,437,882 B2 — "Dynamic survivorship rules for master data"</w:t>
      </w:r>
    </w:p>
    <w:p>
      <w:pPr>
        <w:pStyle w:val="Heading3"/>
      </w:pPr>
      <w:r>
        <w:t>Non-Patent Literature</w:t>
      </w:r>
    </w:p>
    <w:p>
      <w:pPr>
        <w:pStyle w:val="ListNumber"/>
        <w:spacing w:before="20" w:after="20"/>
      </w:pPr>
      <w:r>
        <w:rPr>
          <w:rFonts w:ascii="Times New Roman" w:hAnsi="Times New Roman"/>
          <w:sz w:val="24"/>
        </w:rPr>
        <w:t>Fellegi, I.P. and Sunter, A.B. (1969). "A theory for record linkage." *Journal of the American Statistical Association*, 64(328), 1183-1210.</w:t>
      </w:r>
    </w:p>
    <w:p>
      <w:pPr>
        <w:pStyle w:val="ListNumber"/>
        <w:spacing w:before="20" w:after="20"/>
      </w:pPr>
      <w:r>
        <w:rPr>
          <w:rFonts w:ascii="Times New Roman" w:hAnsi="Times New Roman"/>
          <w:sz w:val="24"/>
        </w:rPr>
        <w:t>Winkler, W.E. (1988). "Using the EM algorithm for weight computation in the Fellegi-Sunter model of record linkage." *Proceedings of the Section on Survey Research Methods*, ASA, 667-671.</w:t>
      </w:r>
    </w:p>
    <w:p>
      <w:pPr>
        <w:pStyle w:val="ListNumber"/>
        <w:spacing w:before="20" w:after="20"/>
      </w:pPr>
      <w:r>
        <w:rPr>
          <w:rFonts w:ascii="Times New Roman" w:hAnsi="Times New Roman"/>
          <w:sz w:val="24"/>
        </w:rPr>
        <w:t>Larsen, M.D. and Rubin, D.B. (2001). "Iterative automated record linkage using mixture models." *Journal of the American Statistical Association*, 96(453), 32-41.</w:t>
      </w:r>
    </w:p>
    <w:p>
      <w:pPr>
        <w:pStyle w:val="ListNumber"/>
        <w:spacing w:before="20" w:after="20"/>
      </w:pPr>
      <w:r>
        <w:rPr>
          <w:rFonts w:ascii="Times New Roman" w:hAnsi="Times New Roman"/>
          <w:sz w:val="24"/>
        </w:rPr>
        <w:t>Damerau, F.J. (1964). "A technique for computer detection and correction of spelling errors." *Communications of the ACM*, 7(3), 171-176.</w:t>
      </w:r>
    </w:p>
    <w:p>
      <w:pPr>
        <w:pStyle w:val="ListNumber"/>
        <w:spacing w:before="20" w:after="20"/>
      </w:pPr>
      <w:r>
        <w:rPr>
          <w:rFonts w:ascii="Times New Roman" w:hAnsi="Times New Roman"/>
          <w:sz w:val="24"/>
        </w:rPr>
        <w:t>Christen, P. (2012). *Data Matching: Concepts and Techniques for Record Linkage, Entity Resolution, and Duplicate Detection*. Springer.</w:t>
      </w:r>
    </w:p>
    <w:p>
      <w:pPr>
        <w:pStyle w:val="ListNumber"/>
        <w:spacing w:before="20" w:after="20"/>
      </w:pPr>
      <w:r>
        <w:rPr>
          <w:rFonts w:ascii="Times New Roman" w:hAnsi="Times New Roman"/>
          <w:sz w:val="24"/>
        </w:rPr>
        <w:t>Köpcke, H. and Rahm, E. (2010). "Frameworks for entity matching: A comparison." *Data &amp; Knowledge Engineering*, 69(2), 197-210.</w:t>
      </w:r>
    </w:p>
    <w:p>
      <w:pPr>
        <w:pStyle w:val="Heading3"/>
      </w:pPr>
      <w:r>
        <w:t>Distinguishing Features Over Prior Art</w:t>
      </w:r>
    </w:p>
    <w:p>
      <w:pPr>
        <w:spacing w:before="40" w:after="80"/>
        <w:jc w:val="both"/>
      </w:pPr>
      <w:r>
        <w:rPr>
          <w:rFonts w:ascii="Times New Roman" w:hAnsi="Times New Roman"/>
          <w:b w:val="0"/>
          <w:i w:val="0"/>
          <w:sz w:val="24"/>
        </w:rPr>
        <w:t>The present invention is distinguished from all cited prior art in at least the following respects:</w:t>
      </w:r>
    </w:p>
    <w:p>
      <w:pPr>
        <w:pStyle w:val="ListNumber"/>
        <w:spacing w:before="20" w:after="20"/>
      </w:pPr>
      <w:r>
        <w:rPr>
          <w:rFonts w:ascii="Times New Roman" w:hAnsi="Times New Roman"/>
          <w:sz w:val="24"/>
        </w:rPr>
        <w:t>Over static probabilistic systems (US 9,330,169): The present invention's EM algorithm automatically re-estimates Fellegi-Sunter parameters on a schedule without human-labeled training pairs. The cited reference requires labeled training sets and does not provide automatic scheduled re-estimation.</w:t>
      </w:r>
    </w:p>
    <w:p>
      <w:pPr>
        <w:pStyle w:val="ListNumber"/>
        <w:spacing w:before="20" w:after="20"/>
      </w:pPr>
      <w:r>
        <w:rPr>
          <w:rFonts w:ascii="Times New Roman" w:hAnsi="Times New Roman"/>
          <w:sz w:val="24"/>
        </w:rPr>
        <w:t>Over blocking-based systems: No prior art reference discloses nine independent blocking strategies applied in union with a dual (inverted + forward) concurrent hash map structure. The cited references apply two to four strategies at most.</w:t>
      </w:r>
    </w:p>
    <w:p>
      <w:pPr>
        <w:pStyle w:val="ListNumber"/>
        <w:spacing w:before="20" w:after="20"/>
      </w:pPr>
      <w:r>
        <w:rPr>
          <w:rFonts w:ascii="Times New Roman" w:hAnsi="Times New Roman"/>
          <w:sz w:val="24"/>
        </w:rPr>
        <w:t>Over survivorship rule systems (US 10,437,882): The cited reference pre-computes and stores golden record attribute values. The present invention assembles golden records at query time from source records, enabling instant rule changes without data re-computation and supporting multiple view-scoped golden records from the same underlying data.</w:t>
      </w:r>
    </w:p>
    <w:p>
      <w:pPr>
        <w:pStyle w:val="ListNumber"/>
        <w:spacing w:before="20" w:after="20"/>
      </w:pPr>
      <w:r>
        <w:rPr>
          <w:rFonts w:ascii="Times New Roman" w:hAnsi="Times New Roman"/>
          <w:sz w:val="24"/>
        </w:rPr>
        <w:t>Over all prior MDM systems: No prior art discloses the Provisional Golden Identity pattern that eliminates the null golden state. All known commercial MDM systems (IBM InfoSphere MDM, Informatica MDM, SAP Master Data Governance, TIBCO EBX, Reltio Cloud) allow party records pending steward review to exist without a golden identifier.</w:t>
      </w:r>
    </w:p>
    <w:p>
      <w:pPr>
        <w:pStyle w:val="ListNumber"/>
        <w:spacing w:before="20" w:after="20"/>
      </w:pPr>
      <w:r>
        <w:rPr>
          <w:rFonts w:ascii="Times New Roman" w:hAnsi="Times New Roman"/>
          <w:sz w:val="24"/>
        </w:rPr>
        <w:t>Over all prior MDM systems: No prior art discloses post-update probabilistic cluster drift detection. The concept of automatically re-evaluating cluster membership when party attributes change is wholly novel to the field of entity resolution.</w:t>
      </w:r>
    </w:p>
    <w:p>
      <w:pPr>
        <w:pStyle w:val="ListNumber"/>
        <w:spacing w:before="20" w:after="20"/>
      </w:pPr>
      <w:r>
        <w:rPr>
          <w:rFonts w:ascii="Times New Roman" w:hAnsi="Times New Roman"/>
          <w:sz w:val="24"/>
        </w:rPr>
        <w:t>Over AI-based matching systems: No prior art discloses conditional three-stage cascading that falls back to LLM-based disambiguation only for the statistically ambiguous score range [0.5, 0.9], preserving deterministic and probabilistic accuracy while using AI only as a targeted tiebreaker.</w:t>
      </w:r>
    </w:p>
    <w:p>
      <w:pPr>
        <w:spacing w:before="80" w:after="80"/>
        <w:pBdr>
          <w:bottom w:val="single" w:sz="6" w:space="1" w:color="6B7280"/>
        </w:pBdr>
      </w:pPr>
    </w:p>
    <w:p>
      <w:pPr>
        <w:spacing w:before="40" w:after="80"/>
        <w:jc w:val="both"/>
      </w:pPr>
      <w:r>
        <w:rPr>
          <w:rFonts w:ascii="Times New Roman" w:hAnsi="Times New Roman"/>
          <w:b w:val="0"/>
          <w:i w:val="0"/>
          <w:sz w:val="24"/>
        </w:rPr>
        <w:t>*End of Patent Application*</w:t>
      </w:r>
    </w:p>
    <w:p>
      <w:pPr>
        <w:spacing w:before="80" w:after="80"/>
        <w:pBdr>
          <w:bottom w:val="single" w:sz="6" w:space="1" w:color="6B7280"/>
        </w:pBdr>
      </w:pPr>
    </w:p>
    <w:p>
      <w:pPr>
        <w:spacing w:before="40" w:after="80"/>
        <w:jc w:val="both"/>
      </w:pPr>
      <w:r>
        <w:rPr>
          <w:rFonts w:ascii="Times New Roman" w:hAnsi="Times New Roman"/>
          <w:sz w:val="24"/>
        </w:rPr>
        <w:t xml:space="preserve">&gt; </w:t>
      </w:r>
      <w:r>
        <w:rPr>
          <w:rFonts w:ascii="Times New Roman" w:hAnsi="Times New Roman"/>
          <w:b/>
          <w:sz w:val="24"/>
        </w:rPr>
        <w:t>ATTORNEY NOTE:</w:t>
      </w:r>
      <w:r>
        <w:rPr>
          <w:rFonts w:ascii="Times New Roman" w:hAnsi="Times New Roman"/>
          <w:sz w:val="24"/>
        </w:rPr>
        <w:t xml:space="preserve"> This document has been prepared for filing under 35 U.S.C. § 111(a) as a non-provisional utility patent application. Filing fees apply per 37 C.F.R. § 1.16. An Information Disclosure Statement (IDS) should be filed concurrently with this application per 37 C.F.R. § 1.97. The inventors should execute the Inventor Declaration (AIA Form PTO/AIA/01) and an Assignment document (PTO/AIA/75) prior to filing. Drawings referenced in the Brief Description of Drawings section should be prepared as black-ink line drawings conforming to 37 C.F.R. § 1.84 and filed as separate exhibits. Consider filing a concurrent Patent Cooperation Treaty (PCT) application under the Patent Cooperation Treaty for international protection in jurisdictions where Averio MDM will be commercialized.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3B007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6000B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1E1B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