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8640"/>
      </w:tblGrid>
      <w:tr>
        <w:tc>
          <w:tcPr>
            <w:tcW w:type="dxa" w:w="8640"/>
            <w:shd w:val="clear" w:color="auto" w:fill="3B007F"/>
          </w:tcPr>
          <w:p/>
          <w:p>
            <w:pPr>
              <w:spacing w:before="40" w:after="40"/>
              <w:jc w:val="center"/>
            </w:pPr>
            <w:r>
              <w:rPr>
                <w:rFonts w:ascii="Arial" w:hAnsi="Arial"/>
                <w:b/>
                <w:color w:val="FFFFFF"/>
                <w:sz w:val="36"/>
              </w:rPr>
              <w:t>UNITED STATES PROVISIONAL PATENT APPLICATION</w:t>
            </w:r>
          </w:p>
          <w:p>
            <w:pPr>
              <w:spacing w:before="40" w:after="40"/>
              <w:jc w:val="center"/>
            </w:pPr>
            <w:r>
              <w:rPr>
                <w:rFonts w:ascii="Arial" w:hAnsi="Arial"/>
                <w:b w:val="0"/>
                <w:color w:val="FFFFFF"/>
                <w:sz w:val="22"/>
              </w:rPr>
              <w:t>Provisional Application for Patent - 35 U.S.C. ss 111(b)</w:t>
            </w:r>
          </w:p>
          <w:p>
            <w:pPr>
              <w:spacing w:before="40" w:after="40"/>
              <w:jc w:val="center"/>
            </w:pPr>
            <w:r>
              <w:rPr>
                <w:rFonts w:ascii="Arial" w:hAnsi="Arial"/>
                <w:b w:val="0"/>
                <w:color w:val="FFFFFF"/>
                <w:sz w:val="12"/>
              </w:rPr>
            </w:r>
          </w:p>
          <w:p>
            <w:pPr>
              <w:spacing w:before="40" w:after="40"/>
              <w:jc w:val="center"/>
            </w:pPr>
            <w:r>
              <w:rPr>
                <w:rFonts w:ascii="Arial" w:hAnsi="Arial"/>
                <w:b w:val="0"/>
                <w:color w:val="FFFFFF"/>
                <w:sz w:val="22"/>
              </w:rPr>
              <w:t>Applicant: Suvojeet Pal (Individual)</w:t>
            </w:r>
          </w:p>
          <w:p>
            <w:pPr>
              <w:spacing w:before="40" w:after="40"/>
              <w:jc w:val="center"/>
            </w:pPr>
            <w:r>
              <w:rPr>
                <w:rFonts w:ascii="Arial" w:hAnsi="Arial"/>
                <w:b w:val="0"/>
                <w:color w:val="FFFFFF"/>
                <w:sz w:val="22"/>
              </w:rPr>
              <w:t>Inventor: Suvojeet Pal</w:t>
            </w:r>
          </w:p>
          <w:p>
            <w:pPr>
              <w:spacing w:before="40" w:after="40"/>
              <w:jc w:val="center"/>
            </w:pPr>
            <w:r>
              <w:rPr>
                <w:rFonts w:ascii="Arial" w:hAnsi="Arial"/>
                <w:b w:val="0"/>
                <w:color w:val="FFFFFF"/>
                <w:sz w:val="22"/>
              </w:rPr>
              <w:t>Docket Reference: AVERIO-001-US-PROV</w:t>
            </w:r>
          </w:p>
        </w:tc>
      </w:tr>
    </w:tbl>
    <w:p/>
    <w:p>
      <w:pPr>
        <w:spacing w:before="80" w:after="80"/>
        <w:pBdr>
          <w:bottom w:val="single" w:sz="6" w:space="1" w:color="6B7280"/>
        </w:pBdr>
      </w:pPr>
    </w:p>
    <w:p>
      <w:pPr>
        <w:spacing w:before="40" w:after="40"/>
        <w:jc w:val="both"/>
      </w:pPr>
      <w:r>
        <w:rPr>
          <w:rFonts w:ascii="Times New Roman" w:hAnsi="Times New Roman"/>
          <w:b/>
          <w:sz w:val="24"/>
        </w:rPr>
        <w:t>Application Type:</w:t>
      </w:r>
      <w:r>
        <w:rPr>
          <w:rFonts w:ascii="Times New Roman" w:hAnsi="Times New Roman"/>
          <w:sz w:val="24"/>
        </w:rPr>
        <w:t xml:space="preserve"> Provisional Application for Patent</w:t>
      </w:r>
    </w:p>
    <w:p>
      <w:pPr>
        <w:spacing w:before="40" w:after="40"/>
        <w:jc w:val="both"/>
      </w:pPr>
      <w:r>
        <w:rPr>
          <w:rFonts w:ascii="Times New Roman" w:hAnsi="Times New Roman"/>
          <w:b/>
          <w:sz w:val="24"/>
        </w:rPr>
        <w:t>Filed Under:</w:t>
      </w:r>
      <w:r>
        <w:rPr>
          <w:rFonts w:ascii="Times New Roman" w:hAnsi="Times New Roman"/>
          <w:sz w:val="24"/>
        </w:rPr>
        <w:t xml:space="preserve"> 35 U.S.C. § 111(b)</w:t>
      </w:r>
    </w:p>
    <w:p>
      <w:pPr>
        <w:spacing w:before="40" w:after="40"/>
        <w:jc w:val="both"/>
      </w:pPr>
      <w:r>
        <w:rPr>
          <w:rFonts w:ascii="Times New Roman" w:hAnsi="Times New Roman"/>
          <w:b/>
          <w:sz w:val="24"/>
        </w:rPr>
        <w:t>Applicant:</w:t>
      </w:r>
      <w:r>
        <w:rPr>
          <w:rFonts w:ascii="Times New Roman" w:hAnsi="Times New Roman"/>
          <w:sz w:val="24"/>
        </w:rPr>
        <w:t xml:space="preserve"> Suvojeet Pal (Individual)</w:t>
      </w:r>
    </w:p>
    <w:p>
      <w:pPr>
        <w:spacing w:before="40" w:after="40"/>
        <w:jc w:val="both"/>
      </w:pPr>
      <w:r>
        <w:rPr>
          <w:rFonts w:ascii="Times New Roman" w:hAnsi="Times New Roman"/>
          <w:b/>
          <w:sz w:val="24"/>
        </w:rPr>
        <w:t>Inventor:</w:t>
      </w:r>
      <w:r>
        <w:rPr>
          <w:rFonts w:ascii="Times New Roman" w:hAnsi="Times New Roman"/>
          <w:sz w:val="24"/>
        </w:rPr>
        <w:t xml:space="preserve"> Suvojeet Pal</w:t>
      </w:r>
    </w:p>
    <w:p>
      <w:pPr>
        <w:spacing w:before="40" w:after="40"/>
        <w:jc w:val="both"/>
      </w:pPr>
      <w:r>
        <w:rPr>
          <w:rFonts w:ascii="Times New Roman" w:hAnsi="Times New Roman"/>
          <w:b/>
          <w:sz w:val="24"/>
        </w:rPr>
        <w:t>Correspondence Address:</w:t>
      </w:r>
      <w:r>
        <w:rPr>
          <w:rFonts w:ascii="Times New Roman" w:hAnsi="Times New Roman"/>
          <w:sz w:val="24"/>
        </w:rPr>
        <w:t xml:space="preserve"> [Inventor Address]</w:t>
      </w:r>
    </w:p>
    <w:p>
      <w:pPr>
        <w:spacing w:before="40" w:after="40"/>
        <w:jc w:val="both"/>
      </w:pPr>
      <w:r>
        <w:rPr>
          <w:rFonts w:ascii="Times New Roman" w:hAnsi="Times New Roman"/>
          <w:b/>
          <w:sz w:val="24"/>
        </w:rPr>
        <w:t>Docket Reference:</w:t>
      </w:r>
      <w:r>
        <w:rPr>
          <w:rFonts w:ascii="Times New Roman" w:hAnsi="Times New Roman"/>
          <w:sz w:val="24"/>
        </w:rPr>
        <w:t xml:space="preserve"> AVERIO-001-US-PROV</w:t>
      </w:r>
    </w:p>
    <w:p>
      <w:pPr>
        <w:spacing w:before="80" w:after="80"/>
        <w:pBdr>
          <w:bottom w:val="single" w:sz="6" w:space="1" w:color="6B7280"/>
        </w:pBdr>
      </w:pPr>
    </w:p>
    <w:p>
      <w:pPr>
        <w:pStyle w:val="Heading2"/>
      </w:pPr>
      <w:r>
        <w:t>TITLE OF THE INVENTION</w:t>
      </w:r>
    </w:p>
    <w:p>
      <w:pPr>
        <w:spacing w:before="40" w:after="40"/>
        <w:jc w:val="both"/>
      </w:pPr>
      <w:r>
        <w:rPr>
          <w:rFonts w:ascii="Times New Roman" w:hAnsi="Times New Roman"/>
          <w:b/>
          <w:i w:val="0"/>
          <w:sz w:val="24"/>
        </w:rPr>
        <w:t>ADAPTIVE MULTI-STRATEGY ENTITY RESOLUTION SYSTEM WITH PROBABILISTIC CLUSTER DRIFT DETECTION, PROVISIONAL GOLDEN IDENTITY MANAGEMENT, AND SELF-CALIBRATING FELLEGI-SUNTER PARAMETER ESTIMATION FOR ENTERPRISE MASTER DATA MANAGEMENT</w:t>
      </w:r>
    </w:p>
    <w:p>
      <w:pPr>
        <w:spacing w:before="80" w:after="80"/>
        <w:pBdr>
          <w:bottom w:val="single" w:sz="6" w:space="1" w:color="6B7280"/>
        </w:pBdr>
      </w:pPr>
    </w:p>
    <w:p>
      <w:pPr>
        <w:pStyle w:val="Heading2"/>
      </w:pPr>
      <w:r>
        <w:t>FIELD OF THE INVENTION</w:t>
      </w:r>
    </w:p>
    <w:p>
      <w:pPr>
        <w:spacing w:before="40" w:after="80"/>
        <w:jc w:val="both"/>
      </w:pPr>
      <w:r>
        <w:rPr>
          <w:rFonts w:ascii="Times New Roman" w:hAnsi="Times New Roman"/>
          <w:b w:val="0"/>
          <w:i w:val="0"/>
          <w:sz w:val="24"/>
        </w:rPr>
        <w:t>This invention is in the field of enterprise software — specifically, systems that manage and deduplicate customer and business entity records across multiple source systems at large scale. The core problem the invention solves is: given hundreds of millions of records arriving from different systems over time, how do you reliably determine which records refer to the same real-world person or organization, keep that determination accurate as data changes, and guarantee that every record is always identifiable — even before a human has reviewed it?</w:t>
      </w:r>
    </w:p>
    <w:p>
      <w:pPr>
        <w:spacing w:before="80" w:after="80"/>
        <w:pBdr>
          <w:bottom w:val="single" w:sz="6" w:space="1" w:color="6B7280"/>
        </w:pBdr>
      </w:pPr>
    </w:p>
    <w:p>
      <w:pPr>
        <w:pStyle w:val="Heading2"/>
      </w:pPr>
      <w:r>
        <w:t>BACKGROUND</w:t>
      </w:r>
    </w:p>
    <w:p>
      <w:pPr>
        <w:pStyle w:val="Heading3"/>
      </w:pPr>
      <w:r>
        <w:t>How I Came to Build This</w:t>
      </w:r>
    </w:p>
    <w:p>
      <w:pPr>
        <w:spacing w:before="40" w:after="80"/>
        <w:jc w:val="both"/>
      </w:pPr>
      <w:r>
        <w:rPr>
          <w:rFonts w:ascii="Times New Roman" w:hAnsi="Times New Roman"/>
          <w:b w:val="0"/>
          <w:i w:val="0"/>
          <w:sz w:val="24"/>
        </w:rPr>
        <w:t>I built Averio MDM after years of working in data management and watching enterprises struggle with the same fundamental problem: their customer data lived in a dozen different systems, and no two systems agreed on who was who. A customer named "Robert Johnson" in the CRM was "Bob Johnson" in the billing system and "R. Johnson" at the same address in the loan platform. Identity resolution — figuring out that these three records are the same person — was either done by expensive consulting projects with static rule sets, or not done at all.</w:t>
      </w:r>
    </w:p>
    <w:p>
      <w:pPr>
        <w:spacing w:before="40" w:after="80"/>
        <w:jc w:val="both"/>
      </w:pPr>
      <w:r>
        <w:rPr>
          <w:rFonts w:ascii="Times New Roman" w:hAnsi="Times New Roman"/>
          <w:b w:val="0"/>
          <w:i w:val="0"/>
          <w:sz w:val="24"/>
        </w:rPr>
        <w:t>The commercial MDM products that existed (IBM InfoSphere, Informatica, SAP MDG, Reltio) all shared the same architectural limitations that I kept running into:</w:t>
      </w:r>
    </w:p>
    <w:p>
      <w:pPr>
        <w:spacing w:before="40" w:after="80"/>
        <w:jc w:val="both"/>
      </w:pPr>
      <w:r>
        <w:rPr>
          <w:rFonts w:ascii="Times New Roman" w:hAnsi="Times New Roman"/>
          <w:b/>
          <w:sz w:val="24"/>
        </w:rPr>
        <w:t>They block candidates using too few strategies.</w:t>
      </w:r>
      <w:r>
        <w:rPr>
          <w:rFonts w:ascii="Times New Roman" w:hAnsi="Times New Roman"/>
          <w:sz w:val="24"/>
        </w:rPr>
        <w:t xml:space="preserve"> Most systems pick one or two blocking strategies — typically phonetic name and postal code. If a name is spelled differently in two systems, or a customer moved, those records never even get compared. The miss rate on real enterprise data is surprisingly high.</w:t>
      </w:r>
    </w:p>
    <w:p>
      <w:pPr>
        <w:spacing w:before="40" w:after="80"/>
        <w:jc w:val="both"/>
      </w:pPr>
      <w:r>
        <w:rPr>
          <w:rFonts w:ascii="Times New Roman" w:hAnsi="Times New Roman"/>
          <w:b/>
          <w:sz w:val="24"/>
        </w:rPr>
        <w:t>Their match models are frozen at deployment.</w:t>
      </w:r>
      <w:r>
        <w:rPr>
          <w:rFonts w:ascii="Times New Roman" w:hAnsi="Times New Roman"/>
          <w:sz w:val="24"/>
        </w:rPr>
        <w:t xml:space="preserve"> The statistical parameters that determine how much weight to give a first-name match versus a phone match are set once by a consultant and never updated. As data quality improves over time, as new source systems come in, as the demographics of the customer base shift — the model just gets stale. Nobody re-runs the calibration.</w:t>
      </w:r>
    </w:p>
    <w:p>
      <w:pPr>
        <w:spacing w:before="40" w:after="80"/>
        <w:jc w:val="both"/>
      </w:pPr>
      <w:r>
        <w:rPr>
          <w:rFonts w:ascii="Times New Roman" w:hAnsi="Times New Roman"/>
          <w:b/>
          <w:sz w:val="24"/>
        </w:rPr>
        <w:t>They leave records in a limbo state.</w:t>
      </w:r>
      <w:r>
        <w:rPr>
          <w:rFonts w:ascii="Times New Roman" w:hAnsi="Times New Roman"/>
          <w:sz w:val="24"/>
        </w:rPr>
        <w:t xml:space="preserve"> When a record can't be auto-matched and gets sent to a human reviewer, it sits in a queue with no identity. It can't be found by golden ID, it doesn't appear in reports, downstream applications that query by customer master ID get nothing back. This can last days or weeks. For a bank, that means a customer who just opened an account can't be seen by the risk system yet.</w:t>
      </w:r>
    </w:p>
    <w:p>
      <w:pPr>
        <w:spacing w:before="40" w:after="80"/>
        <w:jc w:val="both"/>
      </w:pPr>
      <w:r>
        <w:rPr>
          <w:rFonts w:ascii="Times New Roman" w:hAnsi="Times New Roman"/>
          <w:b/>
          <w:sz w:val="24"/>
        </w:rPr>
        <w:t>They don't notice when a cluster goes wrong.</w:t>
      </w:r>
      <w:r>
        <w:rPr>
          <w:rFonts w:ascii="Times New Roman" w:hAnsi="Times New Roman"/>
          <w:sz w:val="24"/>
        </w:rPr>
        <w:t xml:space="preserve"> Once two records get merged into a cluster, they stay merged even if the attributes that caused the merge are later corrected. The phone number that linked two records together gets fixed — but the incorrect merge stays. Nobody detects this unless a human happens to look.</w:t>
      </w:r>
    </w:p>
    <w:p>
      <w:pPr>
        <w:spacing w:before="40" w:after="80"/>
        <w:jc w:val="both"/>
      </w:pPr>
      <w:r>
        <w:rPr>
          <w:rFonts w:ascii="Times New Roman" w:hAnsi="Times New Roman"/>
          <w:b/>
          <w:sz w:val="24"/>
        </w:rPr>
        <w:t>They operate in a single matching mode.</w:t>
      </w:r>
      <w:r>
        <w:rPr>
          <w:rFonts w:ascii="Times New Roman" w:hAnsi="Times New Roman"/>
          <w:sz w:val="24"/>
        </w:rPr>
        <w:t xml:space="preserve"> Either you write rules, or you configure a statistical model. There's no system that falls through to an AI-based disambiguation for the cases that sit right on the fence.</w:t>
      </w:r>
    </w:p>
    <w:p>
      <w:pPr>
        <w:spacing w:before="40" w:after="80"/>
        <w:jc w:val="both"/>
      </w:pPr>
      <w:r>
        <w:rPr>
          <w:rFonts w:ascii="Times New Roman" w:hAnsi="Times New Roman"/>
          <w:b w:val="0"/>
          <w:i w:val="0"/>
          <w:sz w:val="24"/>
        </w:rPr>
        <w:t>These are real, specific problems I encountered repeatedly. Averio MDM is my attempt to fix all of them in one coherent system.</w:t>
      </w:r>
    </w:p>
    <w:p>
      <w:pPr>
        <w:pStyle w:val="Heading3"/>
      </w:pPr>
      <w:r>
        <w:t>Why Existing Approaches Fall Short</w:t>
      </w:r>
    </w:p>
    <w:p>
      <w:pPr>
        <w:spacing w:before="40" w:after="40"/>
        <w:jc w:val="both"/>
      </w:pPr>
      <w:r>
        <w:rPr>
          <w:rFonts w:ascii="Times New Roman" w:hAnsi="Times New Roman"/>
          <w:b/>
          <w:sz w:val="24"/>
        </w:rPr>
        <w:t>On blocking:</w:t>
      </w:r>
      <w:r>
        <w:rPr>
          <w:rFonts w:ascii="Times New Roman" w:hAnsi="Times New Roman"/>
          <w:sz w:val="24"/>
        </w:rPr>
        <w:t xml:space="preserve"> A naive pairwise comparison of N records is O(N²). For a billion-record enterprise that's 10¹⁸ comparisons — not workable. Blocking narrows the search, but single-strategy blocking misses too many real matches when data quality varies across systems. Two records for the same person won't share a blocking key if one system truncated the last name and the other stored an old address. The solution I developed uses nine independent strategies simultaneously, taking their union so that any single strategy match is sufficient to bring a candidate into scope.</w:t>
      </w:r>
    </w:p>
    <w:p>
      <w:pPr>
        <w:spacing w:before="40" w:after="40"/>
        <w:jc w:val="both"/>
      </w:pPr>
      <w:r>
        <w:rPr>
          <w:rFonts w:ascii="Times New Roman" w:hAnsi="Times New Roman"/>
          <w:b/>
          <w:sz w:val="24"/>
        </w:rPr>
        <w:t>On self-calibrating parameters:</w:t>
      </w:r>
      <w:r>
        <w:rPr>
          <w:rFonts w:ascii="Times New Roman" w:hAnsi="Times New Roman"/>
          <w:sz w:val="24"/>
        </w:rPr>
        <w:t xml:space="preserve"> The Fellegi-Sunter model assigns weights based on two probabilities per attribute: the probability of agreement given a true match (m-probability) and the probability of agreement given a true non-match (u-probability). In prior systems, someone estimates these once. I implemented an Expectation-Maximization algorithm that re-learns these probabilities from the actual data on a nightly schedule, with no labeled training pairs required. The model stays accurate as data characteristics change.</w:t>
      </w:r>
    </w:p>
    <w:p>
      <w:pPr>
        <w:spacing w:before="40" w:after="40"/>
        <w:jc w:val="both"/>
      </w:pPr>
      <w:r>
        <w:rPr>
          <w:rFonts w:ascii="Times New Roman" w:hAnsi="Times New Roman"/>
          <w:b/>
          <w:sz w:val="24"/>
        </w:rPr>
        <w:t>On the null golden state:</w:t>
      </w:r>
      <w:r>
        <w:rPr>
          <w:rFonts w:ascii="Times New Roman" w:hAnsi="Times New Roman"/>
          <w:sz w:val="24"/>
        </w:rPr>
        <w:t xml:space="preserve"> Every existing commercial MDM system I reviewed has this gap. A record in review has no golden ID. I fixed it with what I call the Provisional Golden Identity pattern — every record gets a golden ID at the moment it's first written to the database, period. If a human later approves a merge, the provisional ID is retired. If they reject, the provisional becomes permanent. Either way the record is always findable.</w:t>
      </w:r>
    </w:p>
    <w:p>
      <w:pPr>
        <w:spacing w:before="40" w:after="40"/>
        <w:jc w:val="both"/>
      </w:pPr>
      <w:r>
        <w:rPr>
          <w:rFonts w:ascii="Times New Roman" w:hAnsi="Times New Roman"/>
          <w:b/>
          <w:sz w:val="24"/>
        </w:rPr>
        <w:t>On cluster drift:</w:t>
      </w:r>
      <w:r>
        <w:rPr>
          <w:rFonts w:ascii="Times New Roman" w:hAnsi="Times New Roman"/>
          <w:sz w:val="24"/>
        </w:rPr>
        <w:t xml:space="preserve"> Nobody has published a solution to post-assignment drift in MDM systems. When I looked through prior art, I found papers on the initial matching problem and on survivorship, but nothing on what happens when the attributes that justified a cluster membership change. I built a re-evaluation algorithm that fires on every attribute update and checks whether the updated record still statistically belongs to its cluster.</w:t>
      </w:r>
    </w:p>
    <w:p>
      <w:pPr>
        <w:spacing w:before="80" w:after="80"/>
        <w:pBdr>
          <w:bottom w:val="single" w:sz="6" w:space="1" w:color="6B7280"/>
        </w:pBdr>
      </w:pPr>
    </w:p>
    <w:p>
      <w:pPr>
        <w:pStyle w:val="Heading2"/>
      </w:pPr>
      <w:r>
        <w:t>SUMMARY OF THE INVENTION</w:t>
      </w:r>
    </w:p>
    <w:p>
      <w:pPr>
        <w:spacing w:before="40" w:after="80"/>
        <w:jc w:val="both"/>
      </w:pPr>
      <w:r>
        <w:rPr>
          <w:rFonts w:ascii="Times New Roman" w:hAnsi="Times New Roman"/>
          <w:b w:val="0"/>
          <w:i w:val="0"/>
          <w:sz w:val="24"/>
        </w:rPr>
        <w:t>The invention is a complete enterprise MDM platform called Averio MDM, implemented as a Java Spring Boot application. It introduces five technical innovations that I believe are novel to the field:</w:t>
      </w:r>
    </w:p>
    <w:p>
      <w:pPr>
        <w:spacing w:before="40" w:after="80"/>
        <w:jc w:val="both"/>
      </w:pPr>
      <w:r>
        <w:rPr>
          <w:rFonts w:ascii="Times New Roman" w:hAnsi="Times New Roman"/>
          <w:b/>
          <w:sz w:val="24"/>
        </w:rPr>
        <w:t>1. Nine-Strategy Union Blocking.</w:t>
      </w:r>
      <w:r>
        <w:rPr>
          <w:rFonts w:ascii="Times New Roman" w:hAnsi="Times New Roman"/>
          <w:sz w:val="24"/>
        </w:rPr>
        <w:t xml:space="preserve"> Instead of one or two blocking strategies, the system generates keys from nine independent strategies and takes their union. Any single strategy overlap is enough to bring a candidate into scope. This dramatically improves recall on messy real-world data without sacrificing the O(N×k) complexity bound.</w:t>
      </w:r>
    </w:p>
    <w:p>
      <w:pPr>
        <w:spacing w:before="40" w:after="80"/>
        <w:jc w:val="both"/>
      </w:pPr>
      <w:r>
        <w:rPr>
          <w:rFonts w:ascii="Times New Roman" w:hAnsi="Times New Roman"/>
          <w:b/>
          <w:sz w:val="24"/>
        </w:rPr>
        <w:t>2. Self-Calibrating EM Parameter Estimation.</w:t>
      </w:r>
      <w:r>
        <w:rPr>
          <w:rFonts w:ascii="Times New Roman" w:hAnsi="Times New Roman"/>
          <w:sz w:val="24"/>
        </w:rPr>
        <w:t xml:space="preserve"> The Fellegi-Sunter match model calibrates itself nightly using an Expectation-Maximization algorithm. It learns from the actual data in the system — no labeled training pairs, no consultant re-engagement. The model adapts as data quality improves and as new source systems are added.</w:t>
      </w:r>
    </w:p>
    <w:p>
      <w:pPr>
        <w:spacing w:before="40" w:after="80"/>
        <w:jc w:val="both"/>
      </w:pPr>
      <w:r>
        <w:rPr>
          <w:rFonts w:ascii="Times New Roman" w:hAnsi="Times New Roman"/>
          <w:b/>
          <w:sz w:val="24"/>
        </w:rPr>
        <w:t>3. Three-Stage Cascading Match Pipeline.</w:t>
      </w:r>
      <w:r>
        <w:rPr>
          <w:rFonts w:ascii="Times New Roman" w:hAnsi="Times New Roman"/>
          <w:sz w:val="24"/>
        </w:rPr>
        <w:t xml:space="preserve"> Records flow through three matching stages: deterministic (exact identifier match), probabilistic (Fellegi-Sunter weighted scoring), and AI-enhanced (Large Language Model disambiguation for ambiguous cases only). The LLM is invoked only for scores in the uncertain range [0.5, 0.9], preserving the speed and accuracy of the first two stages for the majority of decisions.</w:t>
      </w:r>
    </w:p>
    <w:p>
      <w:pPr>
        <w:spacing w:before="40" w:after="80"/>
        <w:jc w:val="both"/>
      </w:pPr>
      <w:r>
        <w:rPr>
          <w:rFonts w:ascii="Times New Roman" w:hAnsi="Times New Roman"/>
          <w:b/>
          <w:sz w:val="24"/>
        </w:rPr>
        <w:t>4. Provisional Golden Identity.</w:t>
      </w:r>
      <w:r>
        <w:rPr>
          <w:rFonts w:ascii="Times New Roman" w:hAnsi="Times New Roman"/>
          <w:sz w:val="24"/>
        </w:rPr>
        <w:t xml:space="preserve"> Every record gets a globally unique golden identifier before any database transaction commits. There is no null golden state at any point in the record lifecycle. Records pending review are fully available to downstream applications, the timeline service, the survivorship engine, and the blocking index from the moment they are written.</w:t>
      </w:r>
    </w:p>
    <w:p>
      <w:pPr>
        <w:spacing w:before="40" w:after="80"/>
        <w:jc w:val="both"/>
      </w:pPr>
      <w:r>
        <w:rPr>
          <w:rFonts w:ascii="Times New Roman" w:hAnsi="Times New Roman"/>
          <w:b/>
          <w:sz w:val="24"/>
        </w:rPr>
        <w:t>5. Post-Update Cluster Drift Detection.</w:t>
      </w:r>
      <w:r>
        <w:rPr>
          <w:rFonts w:ascii="Times New Roman" w:hAnsi="Times New Roman"/>
          <w:sz w:val="24"/>
        </w:rPr>
        <w:t xml:space="preserve"> After every attribute update, the system re-evaluates whether the updated record still statistically belongs to its current cluster. If it has drifted, the system automatically reassigns it, escalates to human review, or creates a new cluster — and records the entire event chain as immutable timeline documents.</w:t>
      </w:r>
    </w:p>
    <w:p>
      <w:pPr>
        <w:spacing w:before="80" w:after="80"/>
        <w:pBdr>
          <w:bottom w:val="single" w:sz="6" w:space="1" w:color="6B7280"/>
        </w:pBdr>
      </w:pPr>
    </w:p>
    <w:p>
      <w:pPr>
        <w:pStyle w:val="Heading2"/>
      </w:pPr>
      <w:r>
        <w:t>BRIEF DESCRIPTION OF THE DRAWINGS</w:t>
      </w:r>
    </w:p>
    <w:p>
      <w:pPr>
        <w:spacing w:before="80" w:after="40"/>
        <w:jc w:val="both"/>
      </w:pPr>
      <w:r>
        <w:rPr>
          <w:rFonts w:ascii="Times New Roman" w:hAnsi="Times New Roman"/>
          <w:b w:val="0"/>
          <w:i w:val="0"/>
          <w:sz w:val="24"/>
        </w:rPr>
        <w:t>FIG. 1 is a system architecture diagram showing the Averio MDM platform components — the blocking engine, three-stage match pipeline, survivorship engine, and data stores (Neo4j graph database and Azure Cosmos DB).</w:t>
      </w:r>
    </w:p>
    <w:p>
      <w:pPr>
        <w:spacing w:before="80" w:after="40"/>
        <w:jc w:val="both"/>
      </w:pPr>
      <w:r>
        <w:rPr>
          <w:rFonts w:ascii="Times New Roman" w:hAnsi="Times New Roman"/>
          <w:b w:val="0"/>
          <w:i w:val="0"/>
          <w:sz w:val="24"/>
        </w:rPr>
        <w:t>FIG. 2 is a flowchart showing how the nine blocking key strategies are applied to a single party record to produce the candidate pool.</w:t>
      </w:r>
    </w:p>
    <w:p>
      <w:pPr>
        <w:spacing w:before="80" w:after="40"/>
        <w:jc w:val="both"/>
      </w:pPr>
      <w:r>
        <w:rPr>
          <w:rFonts w:ascii="Times New Roman" w:hAnsi="Times New Roman"/>
          <w:b w:val="0"/>
          <w:i w:val="0"/>
          <w:sz w:val="24"/>
        </w:rPr>
        <w:t>FIG. 3 is a flowchart of the three-stage cascading match pipeline showing threshold-driven routing to auto-link, steward review, and new entity creation.</w:t>
      </w:r>
    </w:p>
    <w:p>
      <w:pPr>
        <w:spacing w:before="80" w:after="40"/>
        <w:jc w:val="both"/>
      </w:pPr>
      <w:r>
        <w:rPr>
          <w:rFonts w:ascii="Times New Roman" w:hAnsi="Times New Roman"/>
          <w:b w:val="0"/>
          <w:i w:val="0"/>
          <w:sz w:val="24"/>
        </w:rPr>
        <w:t>FIG. 4 is a diagram of the Expectation-Maximization parameter estimation algorithm — the E-step computing posterior match probabilities and the M-step updating m and u estimates.</w:t>
      </w:r>
    </w:p>
    <w:p>
      <w:pPr>
        <w:spacing w:before="80" w:after="40"/>
        <w:jc w:val="both"/>
      </w:pPr>
      <w:r>
        <w:rPr>
          <w:rFonts w:ascii="Times New Roman" w:hAnsi="Times New Roman"/>
          <w:b w:val="0"/>
          <w:i w:val="0"/>
          <w:sz w:val="24"/>
        </w:rPr>
        <w:t>FIG. 5 is a flowchart of the post-update cluster drift detection and remediation process.</w:t>
      </w:r>
    </w:p>
    <w:p>
      <w:pPr>
        <w:spacing w:before="80" w:after="40"/>
        <w:jc w:val="both"/>
      </w:pPr>
      <w:r>
        <w:rPr>
          <w:rFonts w:ascii="Times New Roman" w:hAnsi="Times New Roman"/>
          <w:b w:val="0"/>
          <w:i w:val="0"/>
          <w:sz w:val="24"/>
        </w:rPr>
        <w:t>FIG. 6 is a data model diagram showing the relationship between Party nodes in Neo4j, GoldenRecord documents, and TimelineEvent documents in Cosmos DB.</w:t>
      </w:r>
    </w:p>
    <w:p>
      <w:pPr>
        <w:spacing w:before="80" w:after="40"/>
        <w:jc w:val="both"/>
      </w:pPr>
      <w:r>
        <w:rPr>
          <w:rFonts w:ascii="Times New Roman" w:hAnsi="Times New Roman"/>
          <w:b w:val="0"/>
          <w:i w:val="0"/>
          <w:sz w:val="24"/>
        </w:rPr>
        <w:t>FIG. 7 is a flowchart of the provisional golden identity lifecycle — from first ingest through steward merge approval or rejection.</w:t>
      </w:r>
    </w:p>
    <w:p>
      <w:pPr>
        <w:spacing w:before="80" w:after="40"/>
        <w:jc w:val="both"/>
      </w:pPr>
      <w:r>
        <w:rPr>
          <w:rFonts w:ascii="Times New Roman" w:hAnsi="Times New Roman"/>
          <w:b w:val="0"/>
          <w:i w:val="0"/>
          <w:sz w:val="24"/>
        </w:rPr>
        <w:t>FIG. 8 is a diagram of the human-in-the-loop ML retraining feedback cycle showing feature capture at decision time and automatic logistic regression retraining.</w:t>
      </w:r>
    </w:p>
    <w:p>
      <w:pPr>
        <w:spacing w:before="80" w:after="80"/>
        <w:pBdr>
          <w:bottom w:val="single" w:sz="6" w:space="1" w:color="6B7280"/>
        </w:pBdr>
      </w:pPr>
    </w:p>
    <w:p>
      <w:r>
        <w:br w:type="page"/>
      </w:r>
    </w:p>
    <w:p>
      <w:pPr>
        <w:pStyle w:val="Heading1"/>
        <w:spacing w:after="80"/>
      </w:pPr>
      <w:r>
        <w:t>DRAWINGS</w:t>
      </w:r>
    </w:p>
    <w:p>
      <w:pPr>
        <w:spacing w:after="240"/>
        <w:jc w:val="center"/>
      </w:pPr>
      <w:r>
        <w:rPr>
          <w:rFonts w:ascii="Arial" w:hAnsi="Arial"/>
          <w:i/>
          <w:color w:val="6000BF"/>
          <w:sz w:val="20"/>
        </w:rPr>
        <w:t>(Referenced in Brief Description of the Drawings)</w:t>
      </w:r>
    </w:p>
    <w:p>
      <w:pPr>
        <w:spacing w:before="120" w:after="40"/>
        <w:jc w:val="center"/>
      </w:pPr>
      <w:r>
        <w:rPr>
          <w:rFonts w:ascii="Times New Roman" w:hAnsi="Times New Roman"/>
          <w:b/>
          <w:i w:val="0"/>
          <w:sz w:val="24"/>
        </w:rPr>
        <w:t>FIG. 1</w:t>
      </w:r>
    </w:p>
    <w:p>
      <w:pPr>
        <w:spacing w:before="160" w:after="120"/>
        <w:jc w:val="center"/>
      </w:pPr>
      <w:r>
        <w:drawing>
          <wp:inline xmlns:a="http://schemas.openxmlformats.org/drawingml/2006/main" xmlns:pic="http://schemas.openxmlformats.org/drawingml/2006/picture">
            <wp:extent cx="5029200" cy="3715388"/>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5029200" cy="3715388"/>
                    </a:xfrm>
                    <a:prstGeom prst="rect"/>
                  </pic:spPr>
                </pic:pic>
              </a:graphicData>
            </a:graphic>
          </wp:inline>
        </w:drawing>
      </w:r>
    </w:p>
    <w:p>
      <w:pPr>
        <w:spacing w:before="40" w:after="320"/>
        <w:jc w:val="center"/>
      </w:pPr>
      <w:r>
        <w:rPr>
          <w:rFonts w:ascii="Arial" w:hAnsi="Arial"/>
          <w:i/>
          <w:color w:val="3B007F"/>
          <w:sz w:val="18"/>
        </w:rPr>
        <w:t>FIG. 1 — System Architecture: Overall Averio MDM platform showing the blocking engine, three-stage match pipeline, survivorship engine, and dual data stores (Neo4j + Azure Cosmos DB).</w:t>
      </w:r>
    </w:p>
    <w:p>
      <w:pPr>
        <w:spacing w:before="80" w:after="80"/>
        <w:pBdr>
          <w:bottom w:val="single" w:sz="6" w:space="1" w:color="6B7280"/>
        </w:pBdr>
      </w:pPr>
    </w:p>
    <w:p/>
    <w:p>
      <w:pPr>
        <w:spacing w:before="120" w:after="40"/>
        <w:jc w:val="center"/>
      </w:pPr>
      <w:r>
        <w:rPr>
          <w:rFonts w:ascii="Times New Roman" w:hAnsi="Times New Roman"/>
          <w:b/>
          <w:i w:val="0"/>
          <w:sz w:val="24"/>
        </w:rPr>
        <w:t>FIG. 2</w:t>
      </w:r>
    </w:p>
    <w:p>
      <w:pPr>
        <w:spacing w:before="160" w:after="120"/>
        <w:jc w:val="center"/>
      </w:pPr>
      <w:r>
        <w:drawing>
          <wp:inline xmlns:a="http://schemas.openxmlformats.org/drawingml/2006/main" xmlns:pic="http://schemas.openxmlformats.org/drawingml/2006/picture">
            <wp:extent cx="5029200" cy="3611168"/>
            <wp:docPr id="2" name="Picture 2"/>
            <wp:cNvGraphicFramePr>
              <a:graphicFrameLocks noChangeAspect="1"/>
            </wp:cNvGraphicFramePr>
            <a:graphic>
              <a:graphicData uri="http://schemas.openxmlformats.org/drawingml/2006/picture">
                <pic:pic>
                  <pic:nvPicPr>
                    <pic:cNvPr id="0" name="FIG2_blocking.png"/>
                    <pic:cNvPicPr/>
                  </pic:nvPicPr>
                  <pic:blipFill>
                    <a:blip r:embed="rId10"/>
                    <a:stretch>
                      <a:fillRect/>
                    </a:stretch>
                  </pic:blipFill>
                  <pic:spPr>
                    <a:xfrm>
                      <a:off x="0" y="0"/>
                      <a:ext cx="5029200" cy="3611168"/>
                    </a:xfrm>
                    <a:prstGeom prst="rect"/>
                  </pic:spPr>
                </pic:pic>
              </a:graphicData>
            </a:graphic>
          </wp:inline>
        </w:drawing>
      </w:r>
    </w:p>
    <w:p>
      <w:pPr>
        <w:spacing w:before="40" w:after="320"/>
        <w:jc w:val="center"/>
      </w:pPr>
      <w:r>
        <w:rPr>
          <w:rFonts w:ascii="Arial" w:hAnsi="Arial"/>
          <w:i/>
          <w:color w:val="3B007F"/>
          <w:sz w:val="18"/>
        </w:rPr>
        <w:t>FIG. 2 — Nine-Strategy Union Blocking: Flowchart of the nine independent blocking key generation strategies applied in union for O(N×k) candidate retrieval.</w:t>
      </w:r>
    </w:p>
    <w:p>
      <w:pPr>
        <w:spacing w:before="80" w:after="80"/>
        <w:pBdr>
          <w:bottom w:val="single" w:sz="6" w:space="1" w:color="6B7280"/>
        </w:pBdr>
      </w:pPr>
    </w:p>
    <w:p/>
    <w:p>
      <w:pPr>
        <w:spacing w:before="120" w:after="40"/>
        <w:jc w:val="center"/>
      </w:pPr>
      <w:r>
        <w:rPr>
          <w:rFonts w:ascii="Times New Roman" w:hAnsi="Times New Roman"/>
          <w:b/>
          <w:i w:val="0"/>
          <w:sz w:val="24"/>
        </w:rPr>
        <w:t>FIG. 3</w:t>
      </w:r>
    </w:p>
    <w:p>
      <w:pPr>
        <w:spacing w:before="160" w:after="120"/>
        <w:jc w:val="center"/>
      </w:pPr>
      <w:r>
        <w:drawing>
          <wp:inline xmlns:a="http://schemas.openxmlformats.org/drawingml/2006/main" xmlns:pic="http://schemas.openxmlformats.org/drawingml/2006/picture">
            <wp:extent cx="5029200" cy="6654992"/>
            <wp:docPr id="3" name="Picture 3"/>
            <wp:cNvGraphicFramePr>
              <a:graphicFrameLocks noChangeAspect="1"/>
            </wp:cNvGraphicFramePr>
            <a:graphic>
              <a:graphicData uri="http://schemas.openxmlformats.org/drawingml/2006/picture">
                <pic:pic>
                  <pic:nvPicPr>
                    <pic:cNvPr id="0" name="FIG3_pipeline.png"/>
                    <pic:cNvPicPr/>
                  </pic:nvPicPr>
                  <pic:blipFill>
                    <a:blip r:embed="rId11"/>
                    <a:stretch>
                      <a:fillRect/>
                    </a:stretch>
                  </pic:blipFill>
                  <pic:spPr>
                    <a:xfrm>
                      <a:off x="0" y="0"/>
                      <a:ext cx="5029200" cy="6654992"/>
                    </a:xfrm>
                    <a:prstGeom prst="rect"/>
                  </pic:spPr>
                </pic:pic>
              </a:graphicData>
            </a:graphic>
          </wp:inline>
        </w:drawing>
      </w:r>
    </w:p>
    <w:p>
      <w:pPr>
        <w:spacing w:before="40" w:after="320"/>
        <w:jc w:val="center"/>
      </w:pPr>
      <w:r>
        <w:rPr>
          <w:rFonts w:ascii="Arial" w:hAnsi="Arial"/>
          <w:i/>
          <w:color w:val="3B007F"/>
          <w:sz w:val="18"/>
        </w:rPr>
        <w:t>FIG. 3 — Three-Stage Cascading Match Pipeline: Threshold-driven routing through deterministic, probabilistic Fellegi-Sunter, and AI-enhanced LLM matching stages.</w:t>
      </w:r>
    </w:p>
    <w:p>
      <w:pPr>
        <w:spacing w:before="80" w:after="80"/>
        <w:pBdr>
          <w:bottom w:val="single" w:sz="6" w:space="1" w:color="6B7280"/>
        </w:pBdr>
      </w:pPr>
    </w:p>
    <w:p/>
    <w:p>
      <w:pPr>
        <w:spacing w:before="120" w:after="40"/>
        <w:jc w:val="center"/>
      </w:pPr>
      <w:r>
        <w:rPr>
          <w:rFonts w:ascii="Times New Roman" w:hAnsi="Times New Roman"/>
          <w:b/>
          <w:i w:val="0"/>
          <w:sz w:val="24"/>
        </w:rPr>
        <w:t>FIG. 4</w:t>
      </w:r>
    </w:p>
    <w:p>
      <w:pPr>
        <w:spacing w:before="160" w:after="120"/>
        <w:jc w:val="center"/>
      </w:pPr>
      <w:r>
        <w:drawing>
          <wp:inline xmlns:a="http://schemas.openxmlformats.org/drawingml/2006/main" xmlns:pic="http://schemas.openxmlformats.org/drawingml/2006/picture">
            <wp:extent cx="5029200" cy="4321583"/>
            <wp:docPr id="4" name="Picture 4"/>
            <wp:cNvGraphicFramePr>
              <a:graphicFrameLocks noChangeAspect="1"/>
            </wp:cNvGraphicFramePr>
            <a:graphic>
              <a:graphicData uri="http://schemas.openxmlformats.org/drawingml/2006/picture">
                <pic:pic>
                  <pic:nvPicPr>
                    <pic:cNvPr id="0" name="FIG4_em_algorithm.png"/>
                    <pic:cNvPicPr/>
                  </pic:nvPicPr>
                  <pic:blipFill>
                    <a:blip r:embed="rId12"/>
                    <a:stretch>
                      <a:fillRect/>
                    </a:stretch>
                  </pic:blipFill>
                  <pic:spPr>
                    <a:xfrm>
                      <a:off x="0" y="0"/>
                      <a:ext cx="5029200" cy="4321583"/>
                    </a:xfrm>
                    <a:prstGeom prst="rect"/>
                  </pic:spPr>
                </pic:pic>
              </a:graphicData>
            </a:graphic>
          </wp:inline>
        </w:drawing>
      </w:r>
    </w:p>
    <w:p>
      <w:pPr>
        <w:spacing w:before="40" w:after="320"/>
        <w:jc w:val="center"/>
      </w:pPr>
      <w:r>
        <w:rPr>
          <w:rFonts w:ascii="Arial" w:hAnsi="Arial"/>
          <w:i/>
          <w:color w:val="3B007F"/>
          <w:sz w:val="18"/>
        </w:rPr>
        <w:t>FIG. 4 — Self-Calibrating Fellegi-Sunter EM Algorithm: E-step and M-step iterations for autonomous m-probability and u-probability estimation across ten attributes.</w:t>
      </w:r>
    </w:p>
    <w:p>
      <w:pPr>
        <w:spacing w:before="80" w:after="80"/>
        <w:pBdr>
          <w:bottom w:val="single" w:sz="6" w:space="1" w:color="6B7280"/>
        </w:pBdr>
      </w:pPr>
    </w:p>
    <w:p/>
    <w:p>
      <w:pPr>
        <w:spacing w:before="120" w:after="40"/>
        <w:jc w:val="center"/>
      </w:pPr>
      <w:r>
        <w:rPr>
          <w:rFonts w:ascii="Times New Roman" w:hAnsi="Times New Roman"/>
          <w:b/>
          <w:i w:val="0"/>
          <w:sz w:val="24"/>
        </w:rPr>
        <w:t>FIG. 5</w:t>
      </w:r>
    </w:p>
    <w:p>
      <w:pPr>
        <w:spacing w:before="160" w:after="120"/>
        <w:jc w:val="center"/>
      </w:pPr>
      <w:r>
        <w:drawing>
          <wp:inline xmlns:a="http://schemas.openxmlformats.org/drawingml/2006/main" xmlns:pic="http://schemas.openxmlformats.org/drawingml/2006/picture">
            <wp:extent cx="5029200" cy="6065020"/>
            <wp:docPr id="5" name="Picture 5"/>
            <wp:cNvGraphicFramePr>
              <a:graphicFrameLocks noChangeAspect="1"/>
            </wp:cNvGraphicFramePr>
            <a:graphic>
              <a:graphicData uri="http://schemas.openxmlformats.org/drawingml/2006/picture">
                <pic:pic>
                  <pic:nvPicPr>
                    <pic:cNvPr id="0" name="FIG5_drift_detection.png"/>
                    <pic:cNvPicPr/>
                  </pic:nvPicPr>
                  <pic:blipFill>
                    <a:blip r:embed="rId13"/>
                    <a:stretch>
                      <a:fillRect/>
                    </a:stretch>
                  </pic:blipFill>
                  <pic:spPr>
                    <a:xfrm>
                      <a:off x="0" y="0"/>
                      <a:ext cx="5029200" cy="6065020"/>
                    </a:xfrm>
                    <a:prstGeom prst="rect"/>
                  </pic:spPr>
                </pic:pic>
              </a:graphicData>
            </a:graphic>
          </wp:inline>
        </w:drawing>
      </w:r>
    </w:p>
    <w:p>
      <w:pPr>
        <w:spacing w:before="40" w:after="320"/>
        <w:jc w:val="center"/>
      </w:pPr>
      <w:r>
        <w:rPr>
          <w:rFonts w:ascii="Arial" w:hAnsi="Arial"/>
          <w:i/>
          <w:color w:val="3B007F"/>
          <w:sz w:val="18"/>
        </w:rPr>
        <w:t>FIG. 5 — Post-Update Cluster Drift Detection: Probabilistic re-evaluation of cluster membership following attribute update, with automated reassignment and steward escalation.</w:t>
      </w:r>
    </w:p>
    <w:p>
      <w:pPr>
        <w:spacing w:before="80" w:after="80"/>
        <w:pBdr>
          <w:bottom w:val="single" w:sz="6" w:space="1" w:color="6B7280"/>
        </w:pBdr>
      </w:pPr>
    </w:p>
    <w:p/>
    <w:p>
      <w:pPr>
        <w:spacing w:before="120" w:after="40"/>
        <w:jc w:val="center"/>
      </w:pPr>
      <w:r>
        <w:rPr>
          <w:rFonts w:ascii="Times New Roman" w:hAnsi="Times New Roman"/>
          <w:b/>
          <w:i w:val="0"/>
          <w:sz w:val="24"/>
        </w:rPr>
        <w:t>FIG. 6</w:t>
      </w:r>
    </w:p>
    <w:p>
      <w:pPr>
        <w:spacing w:before="160" w:after="120"/>
        <w:jc w:val="center"/>
      </w:pPr>
      <w:r>
        <w:drawing>
          <wp:inline xmlns:a="http://schemas.openxmlformats.org/drawingml/2006/main" xmlns:pic="http://schemas.openxmlformats.org/drawingml/2006/picture">
            <wp:extent cx="5029200" cy="3357351"/>
            <wp:docPr id="6" name="Picture 6"/>
            <wp:cNvGraphicFramePr>
              <a:graphicFrameLocks noChangeAspect="1"/>
            </wp:cNvGraphicFramePr>
            <a:graphic>
              <a:graphicData uri="http://schemas.openxmlformats.org/drawingml/2006/picture">
                <pic:pic>
                  <pic:nvPicPr>
                    <pic:cNvPr id="0" name="FIG6_data_model.png"/>
                    <pic:cNvPicPr/>
                  </pic:nvPicPr>
                  <pic:blipFill>
                    <a:blip r:embed="rId14"/>
                    <a:stretch>
                      <a:fillRect/>
                    </a:stretch>
                  </pic:blipFill>
                  <pic:spPr>
                    <a:xfrm>
                      <a:off x="0" y="0"/>
                      <a:ext cx="5029200" cy="3357351"/>
                    </a:xfrm>
                    <a:prstGeom prst="rect"/>
                  </pic:spPr>
                </pic:pic>
              </a:graphicData>
            </a:graphic>
          </wp:inline>
        </w:drawing>
      </w:r>
    </w:p>
    <w:p>
      <w:pPr>
        <w:spacing w:before="40" w:after="320"/>
        <w:jc w:val="center"/>
      </w:pPr>
      <w:r>
        <w:rPr>
          <w:rFonts w:ascii="Arial" w:hAnsi="Arial"/>
          <w:i/>
          <w:color w:val="3B007F"/>
          <w:sz w:val="18"/>
        </w:rPr>
        <w:t>FIG. 6 — Hybrid Graph + Document Data Model: Relationships between Party nodes (Neo4j), GoldenRecord documents, and TimelineEvent documents (Azure Cosmos DB).</w:t>
      </w:r>
    </w:p>
    <w:p>
      <w:pPr>
        <w:spacing w:before="80" w:after="80"/>
        <w:pBdr>
          <w:bottom w:val="single" w:sz="6" w:space="1" w:color="6B7280"/>
        </w:pBdr>
      </w:pPr>
    </w:p>
    <w:p/>
    <w:p>
      <w:pPr>
        <w:spacing w:before="120" w:after="40"/>
        <w:jc w:val="center"/>
      </w:pPr>
      <w:r>
        <w:rPr>
          <w:rFonts w:ascii="Times New Roman" w:hAnsi="Times New Roman"/>
          <w:b/>
          <w:i w:val="0"/>
          <w:sz w:val="24"/>
        </w:rPr>
        <w:t>FIG. 7</w:t>
      </w:r>
    </w:p>
    <w:p>
      <w:pPr>
        <w:spacing w:before="160" w:after="120"/>
        <w:jc w:val="center"/>
      </w:pPr>
      <w:r>
        <w:drawing>
          <wp:inline xmlns:a="http://schemas.openxmlformats.org/drawingml/2006/main" xmlns:pic="http://schemas.openxmlformats.org/drawingml/2006/picture">
            <wp:extent cx="5029200" cy="4736271"/>
            <wp:docPr id="7" name="Picture 7"/>
            <wp:cNvGraphicFramePr>
              <a:graphicFrameLocks noChangeAspect="1"/>
            </wp:cNvGraphicFramePr>
            <a:graphic>
              <a:graphicData uri="http://schemas.openxmlformats.org/drawingml/2006/picture">
                <pic:pic>
                  <pic:nvPicPr>
                    <pic:cNvPr id="0" name="FIG7_provisional_identity.png"/>
                    <pic:cNvPicPr/>
                  </pic:nvPicPr>
                  <pic:blipFill>
                    <a:blip r:embed="rId15"/>
                    <a:stretch>
                      <a:fillRect/>
                    </a:stretch>
                  </pic:blipFill>
                  <pic:spPr>
                    <a:xfrm>
                      <a:off x="0" y="0"/>
                      <a:ext cx="5029200" cy="4736271"/>
                    </a:xfrm>
                    <a:prstGeom prst="rect"/>
                  </pic:spPr>
                </pic:pic>
              </a:graphicData>
            </a:graphic>
          </wp:inline>
        </w:drawing>
      </w:r>
    </w:p>
    <w:p>
      <w:pPr>
        <w:spacing w:before="40" w:after="320"/>
        <w:jc w:val="center"/>
      </w:pPr>
      <w:r>
        <w:rPr>
          <w:rFonts w:ascii="Arial" w:hAnsi="Arial"/>
          <w:i/>
          <w:color w:val="3B007F"/>
          <w:sz w:val="18"/>
        </w:rPr>
        <w:t>FIG. 7 — Provisional Golden Identity Lifecycle: Assignment of a globally unique golden identifier at first persistence, eliminating the null golden state throughout steward review.</w:t>
      </w:r>
    </w:p>
    <w:p>
      <w:pPr>
        <w:spacing w:before="80" w:after="80"/>
        <w:pBdr>
          <w:bottom w:val="single" w:sz="6" w:space="1" w:color="6B7280"/>
        </w:pBdr>
      </w:pPr>
    </w:p>
    <w:p/>
    <w:p>
      <w:pPr>
        <w:spacing w:before="120" w:after="40"/>
        <w:jc w:val="center"/>
      </w:pPr>
      <w:r>
        <w:rPr>
          <w:rFonts w:ascii="Times New Roman" w:hAnsi="Times New Roman"/>
          <w:b/>
          <w:i w:val="0"/>
          <w:sz w:val="24"/>
        </w:rPr>
        <w:t>FIG. 8</w:t>
      </w:r>
    </w:p>
    <w:p>
      <w:pPr>
        <w:spacing w:before="160" w:after="120"/>
        <w:jc w:val="center"/>
      </w:pPr>
      <w:r>
        <w:drawing>
          <wp:inline xmlns:a="http://schemas.openxmlformats.org/drawingml/2006/main" xmlns:pic="http://schemas.openxmlformats.org/drawingml/2006/picture">
            <wp:extent cx="5029200" cy="4321583"/>
            <wp:docPr id="8" name="Picture 8"/>
            <wp:cNvGraphicFramePr>
              <a:graphicFrameLocks noChangeAspect="1"/>
            </wp:cNvGraphicFramePr>
            <a:graphic>
              <a:graphicData uri="http://schemas.openxmlformats.org/drawingml/2006/picture">
                <pic:pic>
                  <pic:nvPicPr>
                    <pic:cNvPr id="0" name="FIG8_ml_feedback.png"/>
                    <pic:cNvPicPr/>
                  </pic:nvPicPr>
                  <pic:blipFill>
                    <a:blip r:embed="rId16"/>
                    <a:stretch>
                      <a:fillRect/>
                    </a:stretch>
                  </pic:blipFill>
                  <pic:spPr>
                    <a:xfrm>
                      <a:off x="0" y="0"/>
                      <a:ext cx="5029200" cy="4321583"/>
                    </a:xfrm>
                    <a:prstGeom prst="rect"/>
                  </pic:spPr>
                </pic:pic>
              </a:graphicData>
            </a:graphic>
          </wp:inline>
        </w:drawing>
      </w:r>
    </w:p>
    <w:p>
      <w:pPr>
        <w:spacing w:before="40" w:after="320"/>
        <w:jc w:val="center"/>
      </w:pPr>
      <w:r>
        <w:rPr>
          <w:rFonts w:ascii="Arial" w:hAnsi="Arial"/>
          <w:i/>
          <w:color w:val="3B007F"/>
          <w:sz w:val="18"/>
        </w:rPr>
        <w:t>FIG. 8 — Human-in-the-Loop ML Feedback Pipeline: Feature vector capture at steward decision time, immutable feedback storage, and automatic logistic regression retraining.</w:t>
      </w:r>
    </w:p>
    <w:p>
      <w:r>
        <w:br w:type="page"/>
      </w:r>
    </w:p>
    <w:p>
      <w:pPr>
        <w:pStyle w:val="Heading2"/>
      </w:pPr>
      <w:r>
        <w:t>DETAILED DESCRIPTION</w:t>
      </w:r>
    </w:p>
    <w:p>
      <w:pPr>
        <w:pStyle w:val="Heading3"/>
      </w:pPr>
      <w:r>
        <w:t>I. SYSTEM ARCHITECTURE</w:t>
      </w:r>
    </w:p>
    <w:p>
      <w:pPr>
        <w:spacing w:before="40" w:after="80"/>
        <w:jc w:val="both"/>
      </w:pPr>
      <w:r>
        <w:rPr>
          <w:rFonts w:ascii="Times New Roman" w:hAnsi="Times New Roman"/>
          <w:b w:val="0"/>
          <w:i w:val="0"/>
          <w:sz w:val="24"/>
        </w:rPr>
        <w:t>Averio MDM runs as a Spring Boot 3.x application on Java 21, deployed on Microsoft Azure. The data layer uses two stores deliberately chosen for different access patterns:</w:t>
      </w:r>
    </w:p>
    <w:p>
      <w:pPr>
        <w:pStyle w:val="ListBullet"/>
        <w:spacing w:before="20" w:after="20"/>
      </w:pPr>
      <w:r>
        <w:rPr>
          <w:rFonts w:ascii="Times New Roman" w:hAnsi="Times New Roman"/>
          <w:sz w:val="24"/>
        </w:rPr>
        <w:t>Neo4j (graph database) stores Party nodes and their relationships. Graph traversal is used for hierarchy resolution, relationship management, and blocking index candidate retrieval when party relationships are relevant.</w:t>
      </w:r>
    </w:p>
    <w:p>
      <w:pPr>
        <w:pStyle w:val="ListBullet"/>
        <w:spacing w:before="20" w:after="20"/>
      </w:pPr>
      <w:r>
        <w:rPr>
          <w:rFonts w:ascii="Times New Roman" w:hAnsi="Times New Roman"/>
          <w:sz w:val="24"/>
        </w:rPr>
        <w:t>Azure Cosmos DB (document database) stores golden records, timeline events, matching feedback, survivorship rules, steward tasks, and audit logs. Document storage is appropriate here because these are semi-structured, append-heavy, and queried by ID.</w:t>
      </w:r>
    </w:p>
    <w:p>
      <w:pPr>
        <w:pStyle w:val="ListBullet"/>
        <w:spacing w:before="20" w:after="20"/>
      </w:pPr>
      <w:r>
        <w:rPr>
          <w:rFonts w:ascii="Times New Roman" w:hAnsi="Times New Roman"/>
          <w:sz w:val="24"/>
        </w:rPr>
        <w:t>In-memory concurrent hash maps store the blocking index. The index must support microsecond lookup times that a database cannot provide at scale.</w:t>
      </w:r>
    </w:p>
    <w:p>
      <w:pPr>
        <w:spacing w:before="40" w:after="80"/>
        <w:jc w:val="both"/>
      </w:pPr>
      <w:r>
        <w:rPr>
          <w:rFonts w:ascii="Times New Roman" w:hAnsi="Times New Roman"/>
          <w:b w:val="0"/>
          <w:i w:val="0"/>
          <w:sz w:val="24"/>
        </w:rPr>
        <w:t>The platform's principal services are:</w:t>
      </w:r>
    </w:p>
    <w:p>
      <w:pPr>
        <w:pStyle w:val="ListBullet"/>
        <w:spacing w:before="20" w:after="20"/>
      </w:pPr>
      <w:r>
        <w:rPr>
          <w:rFonts w:ascii="Times New Roman" w:hAnsi="Times New Roman"/>
          <w:sz w:val="24"/>
        </w:rPr>
        <w:t>`PartyService` — ingest pipeline, update handling, drift detection trigger</w:t>
      </w:r>
    </w:p>
    <w:p>
      <w:pPr>
        <w:pStyle w:val="ListBullet"/>
        <w:spacing w:before="20" w:after="20"/>
      </w:pPr>
      <w:r>
        <w:rPr>
          <w:rFonts w:ascii="Times New Roman" w:hAnsi="Times New Roman"/>
          <w:sz w:val="24"/>
        </w:rPr>
        <w:t>`BlockingKeyService` — nine-strategy key generation, dual-map index maintenance</w:t>
      </w:r>
    </w:p>
    <w:p>
      <w:pPr>
        <w:pStyle w:val="ListBullet"/>
        <w:spacing w:before="20" w:after="20"/>
      </w:pPr>
      <w:r>
        <w:rPr>
          <w:rFonts w:ascii="Times New Roman" w:hAnsi="Times New Roman"/>
          <w:sz w:val="24"/>
        </w:rPr>
        <w:t>`MatchingEngine` — orchestrates the three-stage pipeline</w:t>
      </w:r>
    </w:p>
    <w:p>
      <w:pPr>
        <w:pStyle w:val="ListBullet"/>
        <w:spacing w:before="20" w:after="20"/>
      </w:pPr>
      <w:r>
        <w:rPr>
          <w:rFonts w:ascii="Times New Roman" w:hAnsi="Times New Roman"/>
          <w:sz w:val="24"/>
        </w:rPr>
        <w:t>`ProbabilisticMatcher` — Fellegi-Sunter weighted scoring with 20+ similarity algorithms</w:t>
      </w:r>
    </w:p>
    <w:p>
      <w:pPr>
        <w:pStyle w:val="ListBullet"/>
        <w:spacing w:before="20" w:after="20"/>
      </w:pPr>
      <w:r>
        <w:rPr>
          <w:rFonts w:ascii="Times New Roman" w:hAnsi="Times New Roman"/>
          <w:sz w:val="24"/>
        </w:rPr>
        <w:t>`AIEnhancedMatcher` — LLM-based disambiguation stage</w:t>
      </w:r>
    </w:p>
    <w:p>
      <w:pPr>
        <w:pStyle w:val="ListBullet"/>
        <w:spacing w:before="20" w:after="20"/>
      </w:pPr>
      <w:r>
        <w:rPr>
          <w:rFonts w:ascii="Times New Roman" w:hAnsi="Times New Roman"/>
          <w:sz w:val="24"/>
        </w:rPr>
        <w:t>`EMAlgorithmService` — nightly self-calibrating parameter estimation</w:t>
      </w:r>
    </w:p>
    <w:p>
      <w:pPr>
        <w:pStyle w:val="ListBullet"/>
        <w:spacing w:before="20" w:after="20"/>
      </w:pPr>
      <w:r>
        <w:rPr>
          <w:rFonts w:ascii="Times New Roman" w:hAnsi="Times New Roman"/>
          <w:sz w:val="24"/>
        </w:rPr>
        <w:t>`SurvivorshipEngine` — query-time golden record assembly from source records</w:t>
      </w:r>
    </w:p>
    <w:p>
      <w:pPr>
        <w:pStyle w:val="ListBullet"/>
        <w:spacing w:before="20" w:after="20"/>
      </w:pPr>
      <w:r>
        <w:rPr>
          <w:rFonts w:ascii="Times New Roman" w:hAnsi="Times New Roman"/>
          <w:sz w:val="24"/>
        </w:rPr>
        <w:t>`GoldenRecordService` — golden record creation, refresh, and view-scoped retrieval</w:t>
      </w:r>
    </w:p>
    <w:p>
      <w:pPr>
        <w:pStyle w:val="ListBullet"/>
        <w:spacing w:before="20" w:after="20"/>
      </w:pPr>
      <w:r>
        <w:rPr>
          <w:rFonts w:ascii="Times New Roman" w:hAnsi="Times New Roman"/>
          <w:sz w:val="24"/>
        </w:rPr>
        <w:t>`MLMatchingService` — feature capture, logistic regression training, and model scoring</w:t>
      </w:r>
    </w:p>
    <w:p>
      <w:pPr>
        <w:pStyle w:val="ListBullet"/>
        <w:spacing w:before="20" w:after="20"/>
      </w:pPr>
      <w:r>
        <w:rPr>
          <w:rFonts w:ascii="Times New Roman" w:hAnsi="Times New Roman"/>
          <w:sz w:val="24"/>
        </w:rPr>
        <w:t>`StewardService` — human review task lifecycle management</w:t>
      </w:r>
    </w:p>
    <w:p>
      <w:pPr>
        <w:pStyle w:val="ListBullet"/>
        <w:spacing w:before="20" w:after="20"/>
      </w:pPr>
      <w:r>
        <w:rPr>
          <w:rFonts w:ascii="Times New Roman" w:hAnsi="Times New Roman"/>
          <w:sz w:val="24"/>
        </w:rPr>
        <w:t>`TimelineService` — immutable event recording for all state changes</w:t>
      </w:r>
    </w:p>
    <w:p>
      <w:pPr>
        <w:pStyle w:val="ListBullet"/>
        <w:spacing w:before="20" w:after="20"/>
      </w:pPr>
      <w:r>
        <w:rPr>
          <w:rFonts w:ascii="Times New Roman" w:hAnsi="Times New Roman"/>
          <w:sz w:val="24"/>
        </w:rPr>
        <w:t>`ClusterMergeService` — transitive Union-Find cluster formation</w:t>
      </w:r>
    </w:p>
    <w:p>
      <w:pPr>
        <w:spacing w:before="80" w:after="80"/>
        <w:pBdr>
          <w:bottom w:val="single" w:sz="6" w:space="1" w:color="6B7280"/>
        </w:pBdr>
      </w:pPr>
    </w:p>
    <w:p>
      <w:pPr>
        <w:pStyle w:val="Heading3"/>
      </w:pPr>
      <w:r>
        <w:t>II. NINE-STRATEGY UNION BLOCKING ENGINE</w:t>
      </w:r>
    </w:p>
    <w:p>
      <w:pPr>
        <w:spacing w:before="200" w:after="80"/>
      </w:pPr>
      <w:r>
        <w:rPr>
          <w:rFonts w:ascii="Arial" w:hAnsi="Arial"/>
          <w:b/>
          <w:color w:val="1E1B4B"/>
          <w:sz w:val="22"/>
        </w:rPr>
        <w:t>II.A. Why Nine Strategies</w:t>
      </w:r>
    </w:p>
    <w:p>
      <w:pPr>
        <w:spacing w:before="40" w:after="80"/>
        <w:jc w:val="both"/>
      </w:pPr>
      <w:r>
        <w:rPr>
          <w:rFonts w:ascii="Times New Roman" w:hAnsi="Times New Roman"/>
          <w:b w:val="0"/>
          <w:i w:val="0"/>
          <w:sz w:val="24"/>
        </w:rPr>
        <w:t>Single-strategy blocking fails when data quality varies. Consider a customer record where:</w:t>
      </w:r>
    </w:p>
    <w:p>
      <w:pPr>
        <w:pStyle w:val="ListBullet"/>
        <w:spacing w:before="20" w:after="20"/>
      </w:pPr>
      <w:r>
        <w:rPr>
          <w:rFonts w:ascii="Times New Roman" w:hAnsi="Times New Roman"/>
          <w:sz w:val="24"/>
        </w:rPr>
        <w:t>The name is spelled "Johnsen" in the CRM but "Johnson" in the billing system</w:t>
      </w:r>
    </w:p>
    <w:p>
      <w:pPr>
        <w:pStyle w:val="ListBullet"/>
        <w:spacing w:before="20" w:after="20"/>
      </w:pPr>
      <w:r>
        <w:rPr>
          <w:rFonts w:ascii="Times New Roman" w:hAnsi="Times New Roman"/>
          <w:sz w:val="24"/>
        </w:rPr>
        <w:t>The phone number stored in each system has a different area code</w:t>
      </w:r>
    </w:p>
    <w:p>
      <w:pPr>
        <w:pStyle w:val="ListBullet"/>
        <w:spacing w:before="20" w:after="20"/>
      </w:pPr>
      <w:r>
        <w:rPr>
          <w:rFonts w:ascii="Times New Roman" w:hAnsi="Times New Roman"/>
          <w:sz w:val="24"/>
        </w:rPr>
        <w:t>The address was updated in one system but not the other</w:t>
      </w:r>
    </w:p>
    <w:p>
      <w:pPr>
        <w:spacing w:before="40" w:after="80"/>
        <w:jc w:val="both"/>
      </w:pPr>
      <w:r>
        <w:rPr>
          <w:rFonts w:ascii="Times New Roman" w:hAnsi="Times New Roman"/>
          <w:b w:val="0"/>
          <w:i w:val="0"/>
          <w:sz w:val="24"/>
        </w:rPr>
        <w:t>With phonetic name blocking alone, these two records share no bucket if the phonetic encoding diverges. With address blocking alone, they miss. But with nine strategies, the shared email domain, the shared last-seven digits of a backup phone number, or the shared tax ID prefix will create at least one matching bucket — and the union of all strategy buckets is the candidate pool.</w:t>
      </w:r>
    </w:p>
    <w:p>
      <w:pPr>
        <w:spacing w:before="40" w:after="80"/>
        <w:jc w:val="both"/>
      </w:pPr>
      <w:r>
        <w:rPr>
          <w:rFonts w:ascii="Times New Roman" w:hAnsi="Times New Roman"/>
          <w:b w:val="0"/>
          <w:i w:val="0"/>
          <w:sz w:val="24"/>
        </w:rPr>
        <w:t>The performance cost of nine strategies is minimal because keys are short strings and hash map lookups are O(1). The recall improvement on real enterprise data is substantial.</w:t>
      </w:r>
    </w:p>
    <w:p>
      <w:pPr>
        <w:spacing w:before="200" w:after="80"/>
      </w:pPr>
      <w:r>
        <w:rPr>
          <w:rFonts w:ascii="Arial" w:hAnsi="Arial"/>
          <w:b/>
          <w:color w:val="1E1B4B"/>
          <w:sz w:val="22"/>
        </w:rPr>
        <w:t>II.B. The Nine Strategies</w:t>
      </w:r>
    </w:p>
    <w:p>
      <w:pPr>
        <w:spacing w:before="40" w:after="80"/>
        <w:jc w:val="both"/>
      </w:pPr>
      <w:r>
        <w:rPr>
          <w:rFonts w:ascii="Times New Roman" w:hAnsi="Times New Roman"/>
          <w:b w:val="0"/>
          <w:i w:val="0"/>
          <w:sz w:val="24"/>
        </w:rPr>
        <w:t>For each incoming Party record, `BlockingKeyService.generateKeys(Party party)` produces a set of string keys:</w:t>
      </w:r>
    </w:p>
    <w:p>
      <w:pPr>
        <w:spacing w:before="40" w:after="40"/>
        <w:jc w:val="both"/>
      </w:pPr>
      <w:r>
        <w:rPr>
          <w:rFonts w:ascii="Times New Roman" w:hAnsi="Times New Roman"/>
          <w:b/>
          <w:i w:val="0"/>
          <w:sz w:val="24"/>
        </w:rPr>
        <w:t>Strategy 1 — Double Metaphone of Name Tokens (`DM:&lt;code&gt;`):</w:t>
      </w:r>
    </w:p>
    <w:p>
      <w:pPr>
        <w:spacing w:before="40" w:after="80"/>
        <w:jc w:val="both"/>
      </w:pPr>
      <w:r>
        <w:rPr>
          <w:rFonts w:ascii="Times New Roman" w:hAnsi="Times New Roman"/>
          <w:b w:val="0"/>
          <w:i w:val="0"/>
          <w:sz w:val="24"/>
        </w:rPr>
        <w:t>Each whitespace-separated token in the party's name (using `organizationName` for organizations, `firstName + lastName` for individuals) is encoded with the Double Metaphone algorithm. Each code is prefixed `DM:` and added to the key set. "Johnson" and "Jonsen" both produce `DM:JNSN`.</w:t>
      </w:r>
    </w:p>
    <w:p>
      <w:pPr>
        <w:spacing w:before="40" w:after="40"/>
        <w:jc w:val="both"/>
      </w:pPr>
      <w:r>
        <w:rPr>
          <w:rFonts w:ascii="Times New Roman" w:hAnsi="Times New Roman"/>
          <w:b/>
          <w:i w:val="0"/>
          <w:sz w:val="24"/>
        </w:rPr>
        <w:t>Strategy 1b — Nickname Variant Phonetic Keys:</w:t>
      </w:r>
    </w:p>
    <w:p>
      <w:pPr>
        <w:spacing w:before="40" w:after="80"/>
        <w:jc w:val="both"/>
      </w:pPr>
      <w:r>
        <w:rPr>
          <w:rFonts w:ascii="Times New Roman" w:hAnsi="Times New Roman"/>
          <w:b w:val="0"/>
          <w:i w:val="0"/>
          <w:sz w:val="24"/>
        </w:rPr>
        <w:t>For individual records, `NicknameService.variants(firstName)` returns all equivalent name forms from a table of 90+ equivalence groups. Each variant gets its own `DM:` key. This means "Bob Smith" and "Robert Smith" share at least one blocking key even though "Bob" and "Robert" produce different phonetic codes.</w:t>
      </w:r>
    </w:p>
    <w:p>
      <w:pPr>
        <w:spacing w:before="40" w:after="40"/>
        <w:jc w:val="both"/>
      </w:pPr>
      <w:r>
        <w:rPr>
          <w:rFonts w:ascii="Times New Roman" w:hAnsi="Times New Roman"/>
          <w:b/>
          <w:i w:val="0"/>
          <w:sz w:val="24"/>
        </w:rPr>
        <w:t>Strategy 2 — Collapsed Full Name Phonetic (`DMF:&lt;code&gt;`):</w:t>
      </w:r>
    </w:p>
    <w:p>
      <w:pPr>
        <w:spacing w:before="40" w:after="80"/>
        <w:jc w:val="both"/>
      </w:pPr>
      <w:r>
        <w:rPr>
          <w:rFonts w:ascii="Times New Roman" w:hAnsi="Times New Roman"/>
          <w:b w:val="0"/>
          <w:i w:val="0"/>
          <w:sz w:val="24"/>
        </w:rPr>
        <w:t>All whitespace is stripped from the normalized name before Double Metaphone encoding. "John Smith" becomes "JohnSmith" before encoding. This handles cases where token boundaries differ between source systems.</w:t>
      </w:r>
    </w:p>
    <w:p>
      <w:pPr>
        <w:spacing w:before="40" w:after="40"/>
        <w:jc w:val="both"/>
      </w:pPr>
      <w:r>
        <w:rPr>
          <w:rFonts w:ascii="Times New Roman" w:hAnsi="Times New Roman"/>
          <w:b/>
          <w:i w:val="0"/>
          <w:sz w:val="24"/>
        </w:rPr>
        <w:t>Strategy 3 — First Initial Plus Last Token Phonetic (`FI:&lt;c&gt;:&lt;code&gt;`):</w:t>
      </w:r>
    </w:p>
    <w:p>
      <w:pPr>
        <w:spacing w:before="40" w:after="80"/>
        <w:jc w:val="both"/>
      </w:pPr>
      <w:r>
        <w:rPr>
          <w:rFonts w:ascii="Times New Roman" w:hAnsi="Times New Roman"/>
          <w:b w:val="0"/>
          <w:i w:val="0"/>
          <w:sz w:val="24"/>
        </w:rPr>
        <w:t>The first character of the first name and the Double Metaphone code of the last name token are combined. "J:SM0" would be a typical key. Nickname expansion is applied to the first token, generating additional FI: keys per variant.</w:t>
      </w:r>
    </w:p>
    <w:p>
      <w:pPr>
        <w:spacing w:before="40" w:after="40"/>
        <w:jc w:val="both"/>
      </w:pPr>
      <w:r>
        <w:rPr>
          <w:rFonts w:ascii="Times New Roman" w:hAnsi="Times New Roman"/>
          <w:b/>
          <w:i w:val="0"/>
          <w:sz w:val="24"/>
        </w:rPr>
        <w:t>Strategy 4 — Date-of-Birth Year-Month Plus Name Initial (`DOB:&lt;yyyy&gt;-&lt;mm&gt;:&lt;c&gt;`):</w:t>
      </w:r>
    </w:p>
    <w:p>
      <w:pPr>
        <w:spacing w:before="40" w:after="80"/>
        <w:jc w:val="both"/>
      </w:pPr>
      <w:r>
        <w:rPr>
          <w:rFonts w:ascii="Times New Roman" w:hAnsi="Times New Roman"/>
          <w:b w:val="0"/>
          <w:i w:val="0"/>
          <w:sz w:val="24"/>
        </w:rPr>
        <w:t>For parties with a known date of birth, year, month, and the initial of the primary name are combined. This is highly discriminating — it only matches parties born in the same month with the same name initial.</w:t>
      </w:r>
    </w:p>
    <w:p>
      <w:pPr>
        <w:spacing w:before="40" w:after="40"/>
        <w:jc w:val="both"/>
      </w:pPr>
      <w:r>
        <w:rPr>
          <w:rFonts w:ascii="Times New Roman" w:hAnsi="Times New Roman"/>
          <w:b/>
          <w:i w:val="0"/>
          <w:sz w:val="24"/>
        </w:rPr>
        <w:t>Strategy 5 — Tax Identifier Prefix (`TAX:&lt;4digits&gt;`):</w:t>
      </w:r>
    </w:p>
    <w:p>
      <w:pPr>
        <w:spacing w:before="40" w:after="80"/>
        <w:jc w:val="both"/>
      </w:pPr>
      <w:r>
        <w:rPr>
          <w:rFonts w:ascii="Times New Roman" w:hAnsi="Times New Roman"/>
          <w:b w:val="0"/>
          <w:i w:val="0"/>
          <w:sz w:val="24"/>
        </w:rPr>
        <w:t>The first four digits of the Tax ID or EIN (after stripping hyphens and spaces) form a blocking key. This is effective for organizations where the full tax ID is not always populated.</w:t>
      </w:r>
    </w:p>
    <w:p>
      <w:pPr>
        <w:spacing w:before="40" w:after="40"/>
        <w:jc w:val="both"/>
      </w:pPr>
      <w:r>
        <w:rPr>
          <w:rFonts w:ascii="Times New Roman" w:hAnsi="Times New Roman"/>
          <w:b/>
          <w:i w:val="0"/>
          <w:sz w:val="24"/>
        </w:rPr>
        <w:t>Strategy 6 — Phone Number Suffix (`PH7:&lt;7digits&gt;`):</w:t>
      </w:r>
    </w:p>
    <w:p>
      <w:pPr>
        <w:spacing w:before="40" w:after="80"/>
        <w:jc w:val="both"/>
      </w:pPr>
      <w:r>
        <w:rPr>
          <w:rFonts w:ascii="Times New Roman" w:hAnsi="Times New Roman"/>
          <w:b w:val="0"/>
          <w:i w:val="0"/>
          <w:sz w:val="24"/>
        </w:rPr>
        <w:t>The last seven digits of each phone number across all of the party's phone entries are used as blocking keys. Seven-digit suffixes are consistent across area codes, which often differ between source systems.</w:t>
      </w:r>
    </w:p>
    <w:p>
      <w:pPr>
        <w:spacing w:before="40" w:after="40"/>
        <w:jc w:val="both"/>
      </w:pPr>
      <w:r>
        <w:rPr>
          <w:rFonts w:ascii="Times New Roman" w:hAnsi="Times New Roman"/>
          <w:b/>
          <w:i w:val="0"/>
          <w:sz w:val="24"/>
        </w:rPr>
        <w:t>Strategy 7 — Email Domain Plus Name Initial (`EM:&lt;domain&gt;:&lt;c&gt;`):</w:t>
      </w:r>
    </w:p>
    <w:p>
      <w:pPr>
        <w:spacing w:before="40" w:after="80"/>
        <w:jc w:val="both"/>
      </w:pPr>
      <w:r>
        <w:rPr>
          <w:rFonts w:ascii="Times New Roman" w:hAnsi="Times New Roman"/>
          <w:b w:val="0"/>
          <w:i w:val="0"/>
          <w:sz w:val="24"/>
        </w:rPr>
        <w:t>The domain portion of the email address (the part after `@`) and the first character of the primary name are combined. This works well for corporate records where multiple contacts share a company domain.</w:t>
      </w:r>
    </w:p>
    <w:p>
      <w:pPr>
        <w:spacing w:before="40" w:after="40"/>
        <w:jc w:val="both"/>
      </w:pPr>
      <w:r>
        <w:rPr>
          <w:rFonts w:ascii="Times New Roman" w:hAnsi="Times New Roman"/>
          <w:b/>
          <w:i w:val="0"/>
          <w:sz w:val="24"/>
        </w:rPr>
        <w:t>Strategy 8 — Postal Code Prefix Plus Phonetic (`ZIP:&lt;5chars&gt;:&lt;code&gt;`):</w:t>
      </w:r>
    </w:p>
    <w:p>
      <w:pPr>
        <w:spacing w:before="40" w:after="80"/>
        <w:jc w:val="both"/>
      </w:pPr>
      <w:r>
        <w:rPr>
          <w:rFonts w:ascii="Times New Roman" w:hAnsi="Times New Roman"/>
          <w:b w:val="0"/>
          <w:i w:val="0"/>
          <w:sz w:val="24"/>
        </w:rPr>
        <w:t>The first five characters of the primary address postal code and the Double Metaphone code of the first name token are combined. This scopes phonetic matches geographically.</w:t>
      </w:r>
    </w:p>
    <w:p>
      <w:pPr>
        <w:spacing w:before="40" w:after="40"/>
        <w:jc w:val="both"/>
      </w:pPr>
      <w:r>
        <w:rPr>
          <w:rFonts w:ascii="Times New Roman" w:hAnsi="Times New Roman"/>
          <w:b/>
          <w:i w:val="0"/>
          <w:sz w:val="24"/>
        </w:rPr>
        <w:t>Strategy 9 — Exact High-Cardinality Identifiers (`DUNS:&lt;#&gt;`, `LEI:&lt;#&gt;`, `NID:&lt;#&gt;`):</w:t>
      </w:r>
    </w:p>
    <w:p>
      <w:pPr>
        <w:spacing w:before="40" w:after="80"/>
        <w:jc w:val="both"/>
      </w:pPr>
      <w:r>
        <w:rPr>
          <w:rFonts w:ascii="Times New Roman" w:hAnsi="Times New Roman"/>
          <w:b w:val="0"/>
          <w:i w:val="0"/>
          <w:sz w:val="24"/>
        </w:rPr>
        <w:t>DUNS number, Legal Entity Identifier, and National ID are stored verbatim as blocking keys after character normalization. A bucket hit on these is essentially a definite match signal on its own.</w:t>
      </w:r>
    </w:p>
    <w:p>
      <w:pPr>
        <w:spacing w:before="200" w:after="80"/>
      </w:pPr>
      <w:r>
        <w:rPr>
          <w:rFonts w:ascii="Arial" w:hAnsi="Arial"/>
          <w:b/>
          <w:color w:val="1E1B4B"/>
          <w:sz w:val="22"/>
        </w:rPr>
        <w:t>II.C. Dual-Map Index</w:t>
      </w:r>
    </w:p>
    <w:p>
      <w:pPr>
        <w:spacing w:before="40" w:after="80"/>
        <w:jc w:val="both"/>
      </w:pPr>
      <w:r>
        <w:rPr>
          <w:rFonts w:ascii="Times New Roman" w:hAnsi="Times New Roman"/>
          <w:b w:val="0"/>
          <w:i w:val="0"/>
          <w:sz w:val="24"/>
        </w:rPr>
        <w:t>Two `ConcurrentHashMap` instances are maintained in application memory:</w:t>
      </w:r>
    </w:p>
    <w:tbl>
      <w:tblPr>
        <w:tblStyle w:val="TableGrid"/>
        <w:tblW w:type="auto" w:w="0"/>
        <w:tblLook w:firstColumn="1" w:firstRow="1" w:lastColumn="0" w:lastRow="0" w:noHBand="0" w:noVBand="1" w:val="04A0"/>
      </w:tblPr>
      <w:tblGrid>
        <w:gridCol w:w="8640"/>
      </w:tblGrid>
      <w:tr>
        <w:tc>
          <w:tcPr>
            <w:tcW w:type="dxa" w:w="8640"/>
            <w:shd w:val="clear" w:color="auto" w:fill="F3F4F6"/>
          </w:tcPr>
          <w:p>
            <w:pPr>
              <w:spacing w:before="80" w:after="80"/>
            </w:pPr>
            <w:r>
              <w:rPr>
                <w:rFonts w:ascii="Courier New" w:hAnsi="Courier New"/>
                <w:sz w:val="18"/>
              </w:rPr>
              <w:t>inverted_index: Map&lt;String(blockingKey), Set&lt;String(globalId)&gt;&gt;</w:t>
              <w:br/>
              <w:t>forward_index:  Map&lt;String(globalId),   Set&lt;String(blockingKey)&gt;&gt;</w:t>
            </w:r>
          </w:p>
        </w:tc>
      </w:tr>
    </w:tbl>
    <w:p/>
    <w:p>
      <w:pPr>
        <w:spacing w:before="40" w:after="80"/>
        <w:jc w:val="both"/>
      </w:pPr>
      <w:r>
        <w:rPr>
          <w:rFonts w:ascii="Times New Roman" w:hAnsi="Times New Roman"/>
          <w:b w:val="0"/>
          <w:i w:val="0"/>
          <w:sz w:val="24"/>
        </w:rPr>
        <w:t>The forward index exists specifically to support efficient deletion. When a party is deleted or merged, `removeParty(globalId)` uses the forward index to find all of that party's keys in O(|keys|) time, then removes them from the inverted index. Without the forward index, deletion would require a full scan of the inverted index.</w:t>
      </w:r>
    </w:p>
    <w:p>
      <w:pPr>
        <w:spacing w:before="40" w:after="80"/>
        <w:jc w:val="both"/>
      </w:pPr>
      <w:r>
        <w:rPr>
          <w:rFonts w:ascii="Times New Roman" w:hAnsi="Times New Roman"/>
          <w:b w:val="0"/>
          <w:i w:val="0"/>
          <w:sz w:val="24"/>
        </w:rPr>
        <w:t>The candidate pool for any incoming record is the union of all bucket members across all strategy keys, minus the probe record itself.</w:t>
      </w:r>
    </w:p>
    <w:p>
      <w:pPr>
        <w:spacing w:before="80" w:after="80"/>
        <w:pBdr>
          <w:bottom w:val="single" w:sz="6" w:space="1" w:color="6B7280"/>
        </w:pBdr>
      </w:pPr>
    </w:p>
    <w:p>
      <w:pPr>
        <w:pStyle w:val="Heading3"/>
      </w:pPr>
      <w:r>
        <w:t>III. SELF-CALIBRATING FELLEGI-SUNTER PARAMETER ESTIMATION</w:t>
      </w:r>
    </w:p>
    <w:p>
      <w:pPr>
        <w:spacing w:before="200" w:after="80"/>
      </w:pPr>
      <w:r>
        <w:rPr>
          <w:rFonts w:ascii="Arial" w:hAnsi="Arial"/>
          <w:b/>
          <w:color w:val="1E1B4B"/>
          <w:sz w:val="22"/>
        </w:rPr>
        <w:t>III.A. The Core Model</w:t>
      </w:r>
    </w:p>
    <w:p>
      <w:pPr>
        <w:spacing w:before="40" w:after="80"/>
        <w:jc w:val="both"/>
      </w:pPr>
      <w:r>
        <w:rPr>
          <w:rFonts w:ascii="Times New Roman" w:hAnsi="Times New Roman"/>
          <w:b w:val="0"/>
          <w:i w:val="0"/>
          <w:sz w:val="24"/>
        </w:rPr>
        <w:t>The Fellegi-Sunter framework assigns a composite weight to a comparison between two records. For each attribute i, the log-likelihood ratio contribution is:</w:t>
      </w:r>
    </w:p>
    <w:tbl>
      <w:tblPr>
        <w:tblStyle w:val="TableGrid"/>
        <w:tblW w:type="auto" w:w="0"/>
        <w:tblLook w:firstColumn="1" w:firstRow="1" w:lastColumn="0" w:lastRow="0" w:noHBand="0" w:noVBand="1" w:val="04A0"/>
      </w:tblPr>
      <w:tblGrid>
        <w:gridCol w:w="8640"/>
      </w:tblGrid>
      <w:tr>
        <w:tc>
          <w:tcPr>
            <w:tcW w:type="dxa" w:w="8640"/>
            <w:shd w:val="clear" w:color="auto" w:fill="F3F4F6"/>
          </w:tcPr>
          <w:p>
            <w:pPr>
              <w:spacing w:before="80" w:after="80"/>
            </w:pPr>
            <w:r>
              <w:rPr>
                <w:rFonts w:ascii="Courier New" w:hAnsi="Courier New"/>
                <w:sz w:val="18"/>
              </w:rPr>
              <w:t>w_i = γ_i × ln(m_i / u_i) + (1 - γ_i) × ln((1 - m_i) / (1 - u_i))</w:t>
            </w:r>
          </w:p>
        </w:tc>
      </w:tr>
    </w:tbl>
    <w:p/>
    <w:p>
      <w:pPr>
        <w:spacing w:before="40" w:after="80"/>
        <w:jc w:val="both"/>
      </w:pPr>
      <w:r>
        <w:rPr>
          <w:rFonts w:ascii="Times New Roman" w:hAnsi="Times New Roman"/>
          <w:b w:val="0"/>
          <w:i w:val="0"/>
          <w:sz w:val="24"/>
        </w:rPr>
        <w:t>where γ_i is 1 if the attribute agrees and 0 if it disagrees. The total weight is the sum across all attributes. A high total weight means the pair is likely a true match; a low weight means it is likely not.</w:t>
      </w:r>
    </w:p>
    <w:p>
      <w:pPr>
        <w:spacing w:before="40" w:after="80"/>
        <w:jc w:val="both"/>
      </w:pPr>
      <w:r>
        <w:rPr>
          <w:rFonts w:ascii="Times New Roman" w:hAnsi="Times New Roman"/>
          <w:b w:val="0"/>
          <w:i w:val="0"/>
          <w:sz w:val="24"/>
        </w:rPr>
        <w:t>The critical inputs are m_i (probability of agreement given the pair is a true match) and u_i (probability of agreement given the pair is not a true match). In every prior MDM system I reviewed, these are set manually and never updated. I built the EM algorithm to learn them automatically.</w:t>
      </w:r>
    </w:p>
    <w:p>
      <w:pPr>
        <w:spacing w:before="200" w:after="80"/>
      </w:pPr>
      <w:r>
        <w:rPr>
          <w:rFonts w:ascii="Arial" w:hAnsi="Arial"/>
          <w:b/>
          <w:color w:val="1E1B4B"/>
          <w:sz w:val="22"/>
        </w:rPr>
        <w:t>III.B. What the EM Algorithm Does</w:t>
      </w:r>
    </w:p>
    <w:p>
      <w:pPr>
        <w:spacing w:before="40" w:after="80"/>
        <w:jc w:val="both"/>
      </w:pPr>
      <w:r>
        <w:rPr>
          <w:rFonts w:ascii="Times New Roman" w:hAnsi="Times New Roman"/>
          <w:b w:val="0"/>
          <w:i w:val="0"/>
          <w:sz w:val="24"/>
        </w:rPr>
        <w:t>`EMAlgorithmService` runs nightly at 02:00 UTC. For each party type in the system, it:</w:t>
      </w:r>
    </w:p>
    <w:p>
      <w:pPr>
        <w:pStyle w:val="ListNumber"/>
        <w:spacing w:before="20" w:after="20"/>
      </w:pPr>
      <w:r>
        <w:rPr>
          <w:rFonts w:ascii="Times New Roman" w:hAnsi="Times New Roman"/>
          <w:sz w:val="24"/>
        </w:rPr>
        <w:t>Draws a sample of 5,000 random party pairs from Neo4j using reservoir sampling.</w:t>
      </w:r>
    </w:p>
    <w:p>
      <w:pPr>
        <w:pStyle w:val="ListNumber"/>
        <w:spacing w:before="20" w:after="20"/>
      </w:pPr>
      <w:r>
        <w:rPr>
          <w:rFonts w:ascii="Times New Roman" w:hAnsi="Times New Roman"/>
          <w:sz w:val="24"/>
        </w:rPr>
        <w:t>Computes a 10-dimensional binary agreement vector for each pair across these attributes:</w:t>
      </w:r>
    </w:p>
    <w:p>
      <w:pPr>
        <w:pStyle w:val="ListBullet"/>
        <w:spacing w:before="20" w:after="20"/>
      </w:pPr>
      <w:r>
        <w:rPr>
          <w:rFonts w:ascii="Times New Roman" w:hAnsi="Times New Roman"/>
          <w:sz w:val="24"/>
        </w:rPr>
        <w:t>firstName (index 0): Jaro-Winkler ≥ 0.85</w:t>
      </w:r>
    </w:p>
    <w:p>
      <w:pPr>
        <w:pStyle w:val="ListBullet"/>
        <w:spacing w:before="20" w:after="20"/>
      </w:pPr>
      <w:r>
        <w:rPr>
          <w:rFonts w:ascii="Times New Roman" w:hAnsi="Times New Roman"/>
          <w:sz w:val="24"/>
        </w:rPr>
        <w:t>lastName (index 1): Jaro-Winkler ≥ 0.85</w:t>
      </w:r>
    </w:p>
    <w:p>
      <w:pPr>
        <w:pStyle w:val="ListBullet"/>
        <w:spacing w:before="20" w:after="20"/>
      </w:pPr>
      <w:r>
        <w:rPr>
          <w:rFonts w:ascii="Times New Roman" w:hAnsi="Times New Roman"/>
          <w:sz w:val="24"/>
        </w:rPr>
        <w:t>dateOfBirth (index 2): exact match</w:t>
      </w:r>
    </w:p>
    <w:p>
      <w:pPr>
        <w:pStyle w:val="ListBullet"/>
        <w:spacing w:before="20" w:after="20"/>
      </w:pPr>
      <w:r>
        <w:rPr>
          <w:rFonts w:ascii="Times New Roman" w:hAnsi="Times New Roman"/>
          <w:sz w:val="24"/>
        </w:rPr>
        <w:t>taxId (index 3): exact match after normalization</w:t>
      </w:r>
    </w:p>
    <w:p>
      <w:pPr>
        <w:pStyle w:val="ListBullet"/>
        <w:spacing w:before="20" w:after="20"/>
      </w:pPr>
      <w:r>
        <w:rPr>
          <w:rFonts w:ascii="Times New Roman" w:hAnsi="Times New Roman"/>
          <w:sz w:val="24"/>
        </w:rPr>
        <w:t>email (index 4): exact match after lowercasing</w:t>
      </w:r>
    </w:p>
    <w:p>
      <w:pPr>
        <w:pStyle w:val="ListBullet"/>
        <w:spacing w:before="20" w:after="20"/>
      </w:pPr>
      <w:r>
        <w:rPr>
          <w:rFonts w:ascii="Times New Roman" w:hAnsi="Times New Roman"/>
          <w:sz w:val="24"/>
        </w:rPr>
        <w:t>phone (index 5): last-7-digit match</w:t>
      </w:r>
    </w:p>
    <w:p>
      <w:pPr>
        <w:pStyle w:val="ListBullet"/>
        <w:spacing w:before="20" w:after="20"/>
      </w:pPr>
      <w:r>
        <w:rPr>
          <w:rFonts w:ascii="Times New Roman" w:hAnsi="Times New Roman"/>
          <w:sz w:val="24"/>
        </w:rPr>
        <w:t>organizationName (index 6): Jaro-Winkler ≥ 0.80</w:t>
      </w:r>
    </w:p>
    <w:p>
      <w:pPr>
        <w:pStyle w:val="ListBullet"/>
        <w:spacing w:before="20" w:after="20"/>
      </w:pPr>
      <w:r>
        <w:rPr>
          <w:rFonts w:ascii="Times New Roman" w:hAnsi="Times New Roman"/>
          <w:sz w:val="24"/>
        </w:rPr>
        <w:t>postalCode (index 7): first-5-character match</w:t>
      </w:r>
    </w:p>
    <w:p>
      <w:pPr>
        <w:pStyle w:val="ListBullet"/>
        <w:spacing w:before="20" w:after="20"/>
      </w:pPr>
      <w:r>
        <w:rPr>
          <w:rFonts w:ascii="Times New Roman" w:hAnsi="Times New Roman"/>
          <w:sz w:val="24"/>
        </w:rPr>
        <w:t>phonetic firstName (index 8): Double Metaphone match</w:t>
      </w:r>
    </w:p>
    <w:p>
      <w:pPr>
        <w:pStyle w:val="ListBullet"/>
        <w:spacing w:before="20" w:after="20"/>
      </w:pPr>
      <w:r>
        <w:rPr>
          <w:rFonts w:ascii="Times New Roman" w:hAnsi="Times New Roman"/>
          <w:sz w:val="24"/>
        </w:rPr>
        <w:t>phonetic lastName (index 9): Double Metaphone match</w:t>
      </w:r>
    </w:p>
    <w:p>
      <w:pPr>
        <w:pStyle w:val="ListNumber"/>
        <w:spacing w:before="20" w:after="20"/>
      </w:pPr>
      <w:r>
        <w:rPr>
          <w:rFonts w:ascii="Times New Roman" w:hAnsi="Times New Roman"/>
          <w:sz w:val="24"/>
        </w:rPr>
        <w:t>Initializes m and u to domain expert priors:</w:t>
      </w:r>
    </w:p>
    <w:tbl>
      <w:tblPr>
        <w:tblStyle w:val="TableGrid"/>
        <w:tblW w:type="auto" w:w="0"/>
        <w:tblLook w:firstColumn="1" w:firstRow="1" w:lastColumn="0" w:lastRow="0" w:noHBand="0" w:noVBand="1" w:val="04A0"/>
      </w:tblPr>
      <w:tblGrid>
        <w:gridCol w:w="8640"/>
      </w:tblGrid>
      <w:tr>
        <w:tc>
          <w:tcPr>
            <w:tcW w:type="dxa" w:w="8640"/>
            <w:shd w:val="clear" w:color="auto" w:fill="F3F4F6"/>
          </w:tcPr>
          <w:p>
            <w:pPr>
              <w:spacing w:before="80" w:after="80"/>
            </w:pPr>
            <w:r>
              <w:rPr>
                <w:rFonts w:ascii="Courier New" w:hAnsi="Courier New"/>
                <w:sz w:val="18"/>
              </w:rPr>
              <w:t>m (P(agree | match)):     [0.95, 0.92, 0.88, 0.99, 0.85, 0.82, 0.90, 0.75, 0.89, 0.86]</w:t>
              <w:br/>
              <w:t>u (P(agree | non-match)): [0.15, 0.10, 0.02, 0.01, 0.03, 0.04, 0.08, 0.12, 0.14, 0.09]</w:t>
            </w:r>
          </w:p>
        </w:tc>
      </w:tr>
    </w:tbl>
    <w:p/>
    <w:p>
      <w:pPr>
        <w:pStyle w:val="ListNumber"/>
        <w:spacing w:before="20" w:after="20"/>
      </w:pPr>
      <w:r>
        <w:rPr>
          <w:rFonts w:ascii="Times New Roman" w:hAnsi="Times New Roman"/>
          <w:sz w:val="24"/>
        </w:rPr>
        <w:t>E-step: For each pair, compute the posterior probability it is a true match using numerically stable log-space arithmetic:</w:t>
      </w:r>
    </w:p>
    <w:tbl>
      <w:tblPr>
        <w:tblStyle w:val="TableGrid"/>
        <w:tblW w:type="auto" w:w="0"/>
        <w:tblLook w:firstColumn="1" w:firstRow="1" w:lastColumn="0" w:lastRow="0" w:noHBand="0" w:noVBand="1" w:val="04A0"/>
      </w:tblPr>
      <w:tblGrid>
        <w:gridCol w:w="8640"/>
      </w:tblGrid>
      <w:tr>
        <w:tc>
          <w:tcPr>
            <w:tcW w:type="dxa" w:w="8640"/>
            <w:shd w:val="clear" w:color="auto" w:fill="F3F4F6"/>
          </w:tcPr>
          <w:p>
            <w:pPr>
              <w:spacing w:before="80" w:after="80"/>
            </w:pPr>
            <w:r>
              <w:rPr>
                <w:rFonts w:ascii="Courier New" w:hAnsi="Courier New"/>
                <w:sz w:val="18"/>
              </w:rPr>
              <w:t>log_match   = ln(π) + Σ_k [γ_k × ln(m_k) + (1-γ_k) × ln(1-m_k)]</w:t>
              <w:br/>
              <w:t>log_nomatch = ln(1-π) + Σ_k [γ_k × ln(u_k) + (1-γ_k) × ln(1-u_k)]</w:t>
              <w:br/>
              <w:t>maxLog      = max(log_match, log_nomatch)</w:t>
              <w:br/>
              <w:t>P(match)    = exp(log_match - maxLog) / [exp(log_match - maxLog) + exp(log_nomatch - maxLog)]</w:t>
            </w:r>
          </w:p>
        </w:tc>
      </w:tr>
    </w:tbl>
    <w:p/>
    <w:p>
      <w:pPr>
        <w:spacing w:before="40" w:after="80"/>
        <w:jc w:val="both"/>
      </w:pPr>
      <w:r>
        <w:rPr>
          <w:rFonts w:ascii="Times New Roman" w:hAnsi="Times New Roman"/>
          <w:b w:val="0"/>
          <w:i w:val="0"/>
          <w:sz w:val="24"/>
        </w:rPr>
        <w:t>The `maxLog` subtraction prevents floating-point underflow in log-space, which I found was a real problem with naive implementations on large attribute vectors.</w:t>
      </w:r>
    </w:p>
    <w:p>
      <w:pPr>
        <w:pStyle w:val="ListNumber"/>
        <w:spacing w:before="20" w:after="20"/>
      </w:pPr>
      <w:r>
        <w:rPr>
          <w:rFonts w:ascii="Times New Roman" w:hAnsi="Times New Roman"/>
          <w:sz w:val="24"/>
        </w:rPr>
        <w:t>M-step: Update the parameters from the posterior-weighted observations:</w:t>
      </w:r>
    </w:p>
    <w:tbl>
      <w:tblPr>
        <w:tblStyle w:val="TableGrid"/>
        <w:tblW w:type="auto" w:w="0"/>
        <w:tblLook w:firstColumn="1" w:firstRow="1" w:lastColumn="0" w:lastRow="0" w:noHBand="0" w:noVBand="1" w:val="04A0"/>
      </w:tblPr>
      <w:tblGrid>
        <w:gridCol w:w="8640"/>
      </w:tblGrid>
      <w:tr>
        <w:tc>
          <w:tcPr>
            <w:tcW w:type="dxa" w:w="8640"/>
            <w:shd w:val="clear" w:color="auto" w:fill="F3F4F6"/>
          </w:tcPr>
          <w:p>
            <w:pPr>
              <w:spacing w:before="80" w:after="80"/>
            </w:pPr>
            <w:r>
              <w:rPr>
                <w:rFonts w:ascii="Courier New" w:hAnsi="Courier New"/>
                <w:sz w:val="18"/>
              </w:rPr>
              <w:t>m_k = Σ_i [P(match_i) × γ_ik] / Σ_i [P(match_i)]</w:t>
              <w:br/>
              <w:t>u_k = Σ_i [(1 - P(match_i)) × γ_ik] / Σ_i [(1 - P(match_i))]</w:t>
              <w:br/>
              <w:t>π   = mean(P(match_i))</w:t>
            </w:r>
          </w:p>
        </w:tc>
      </w:tr>
    </w:tbl>
    <w:p/>
    <w:p>
      <w:pPr>
        <w:pStyle w:val="ListNumber"/>
        <w:spacing w:before="20" w:after="20"/>
      </w:pPr>
      <w:r>
        <w:rPr>
          <w:rFonts w:ascii="Times New Roman" w:hAnsi="Times New Roman"/>
          <w:sz w:val="24"/>
        </w:rPr>
        <w:t>Iterate until convergence (`||m_new - m_old||₁ + ||u_new - u_old||₁ &lt; 0.001`) or 100 iterations maximum.</w:t>
      </w:r>
    </w:p>
    <w:p>
      <w:pPr>
        <w:pStyle w:val="ListNumber"/>
        <w:spacing w:before="20" w:after="20"/>
      </w:pPr>
      <w:r>
        <w:rPr>
          <w:rFonts w:ascii="Times New Roman" w:hAnsi="Times New Roman"/>
          <w:sz w:val="24"/>
        </w:rPr>
        <w:t>Validate before accepting: if `m_k &gt; u_k &amp;&amp; m_k &gt; 0.5 &amp;&amp; u_k &lt; 0.5` for all k, accept. Otherwise revert to priors. This guard prevents statistically aberrant results from a sparse early data sample from degrading match quality.</w:t>
      </w:r>
    </w:p>
    <w:p>
      <w:pPr>
        <w:pStyle w:val="ListNumber"/>
        <w:spacing w:before="20" w:after="20"/>
      </w:pPr>
      <w:r>
        <w:rPr>
          <w:rFonts w:ascii="Times New Roman" w:hAnsi="Times New Roman"/>
          <w:sz w:val="24"/>
        </w:rPr>
        <w:t>Store results per party type with timestamp in a `ConcurrentHashMap&lt;String, MUParameters&gt;`.</w:t>
      </w:r>
    </w:p>
    <w:p>
      <w:pPr>
        <w:spacing w:before="80" w:after="80"/>
        <w:pBdr>
          <w:bottom w:val="single" w:sz="6" w:space="1" w:color="6B7280"/>
        </w:pBdr>
      </w:pPr>
    </w:p>
    <w:p>
      <w:pPr>
        <w:pStyle w:val="Heading3"/>
      </w:pPr>
      <w:r>
        <w:t>IV. THREE-STAGE CASCADING MATCH PIPELINE</w:t>
      </w:r>
    </w:p>
    <w:p>
      <w:pPr>
        <w:spacing w:before="200" w:after="80"/>
      </w:pPr>
      <w:r>
        <w:rPr>
          <w:rFonts w:ascii="Arial" w:hAnsi="Arial"/>
          <w:b/>
          <w:color w:val="1E1B4B"/>
          <w:sz w:val="22"/>
        </w:rPr>
        <w:t>IV.A. Stage 1 — Deterministic Matching</w:t>
      </w:r>
    </w:p>
    <w:p>
      <w:pPr>
        <w:spacing w:before="40" w:after="80"/>
        <w:jc w:val="both"/>
      </w:pPr>
      <w:r>
        <w:rPr>
          <w:rFonts w:ascii="Times New Roman" w:hAnsi="Times New Roman"/>
          <w:b w:val="0"/>
          <w:i w:val="0"/>
          <w:sz w:val="24"/>
        </w:rPr>
        <w:t>The first stage is not probabilistic — it's a lookup. If the probe record and a candidate share any of: SSN, Tax ID/EIN, DUNS number, LEI, passport number, or national ID (exact match after normalization), the score is set to 1.0 and the match method is recorded as `DETERMINISTIC`. There is also a deduplication check: if the probe and candidate share both `sourceSystem` and `sourceSystemId`, the score is 1.0 and method is `SOURCE_DEDUP`. This prevents re-ingesting the same source record twice.</w:t>
      </w:r>
    </w:p>
    <w:p>
      <w:pPr>
        <w:spacing w:before="40" w:after="80"/>
        <w:jc w:val="both"/>
      </w:pPr>
      <w:r>
        <w:rPr>
          <w:rFonts w:ascii="Times New Roman" w:hAnsi="Times New Roman"/>
          <w:b w:val="0"/>
          <w:i w:val="0"/>
          <w:sz w:val="24"/>
        </w:rPr>
        <w:t>Stage 1 exits immediately for any deterministic match — it doesn't proceed to Stage 2.</w:t>
      </w:r>
    </w:p>
    <w:p>
      <w:pPr>
        <w:spacing w:before="200" w:after="80"/>
      </w:pPr>
      <w:r>
        <w:rPr>
          <w:rFonts w:ascii="Arial" w:hAnsi="Arial"/>
          <w:b/>
          <w:color w:val="1E1B4B"/>
          <w:sz w:val="22"/>
        </w:rPr>
        <w:t>IV.B. Stage 2 — Probabilistic Fellegi-Sunter Scoring</w:t>
      </w:r>
    </w:p>
    <w:p>
      <w:pPr>
        <w:spacing w:before="40" w:after="80"/>
        <w:jc w:val="both"/>
      </w:pPr>
      <w:r>
        <w:rPr>
          <w:rFonts w:ascii="Times New Roman" w:hAnsi="Times New Roman"/>
          <w:b w:val="0"/>
          <w:i w:val="0"/>
          <w:sz w:val="24"/>
        </w:rPr>
        <w:t>`ProbabilisticMatcher` applies 20+ similarity algorithms across attribute categories, maps each comparison to a Fellegi-Sunter log-likelihood contribution using the EM-learned m and u parameters, and normalizes the total to [0, 1].</w:t>
      </w:r>
    </w:p>
    <w:p>
      <w:pPr>
        <w:spacing w:before="40" w:after="80"/>
        <w:jc w:val="both"/>
      </w:pPr>
      <w:r>
        <w:rPr>
          <w:rFonts w:ascii="Times New Roman" w:hAnsi="Times New Roman"/>
          <w:b w:val="0"/>
          <w:i w:val="0"/>
          <w:sz w:val="24"/>
        </w:rPr>
        <w:t>The similarity algorithms include:</w:t>
      </w:r>
    </w:p>
    <w:p>
      <w:pPr>
        <w:pStyle w:val="ListBullet"/>
        <w:spacing w:before="20" w:after="20"/>
      </w:pPr>
      <w:r>
        <w:rPr>
          <w:rFonts w:ascii="Times New Roman" w:hAnsi="Times New Roman"/>
          <w:sz w:val="24"/>
        </w:rPr>
        <w:t>Jaro-Winkler for name fields (first name, last name, organization name)</w:t>
      </w:r>
    </w:p>
    <w:p>
      <w:pPr>
        <w:pStyle w:val="ListBullet"/>
        <w:spacing w:before="20" w:after="20"/>
      </w:pPr>
      <w:r>
        <w:rPr>
          <w:rFonts w:ascii="Times New Roman" w:hAnsi="Times New Roman"/>
          <w:sz w:val="24"/>
        </w:rPr>
        <w:t>Token Sort Ratio: alphabetically sort tokens before Jaro-Winkler — handles word-order differences ("Smith, John" vs "John Smith")</w:t>
      </w:r>
    </w:p>
    <w:p>
      <w:pPr>
        <w:pStyle w:val="ListBullet"/>
        <w:spacing w:before="20" w:after="20"/>
      </w:pPr>
      <w:r>
        <w:rPr>
          <w:rFonts w:ascii="Times New Roman" w:hAnsi="Times New Roman"/>
          <w:sz w:val="24"/>
        </w:rPr>
        <w:t>Token Set Ratio: Jaccard similarity over token sets plus Jaro-Winkler — handles abbreviations</w:t>
      </w:r>
    </w:p>
    <w:p>
      <w:pPr>
        <w:pStyle w:val="ListBullet"/>
        <w:spacing w:before="20" w:after="20"/>
      </w:pPr>
      <w:r>
        <w:rPr>
          <w:rFonts w:ascii="Times New Roman" w:hAnsi="Times New Roman"/>
          <w:sz w:val="24"/>
        </w:rPr>
        <w:t>Bigram Jaccard: 2-character overlap ratio</w:t>
      </w:r>
    </w:p>
    <w:p>
      <w:pPr>
        <w:pStyle w:val="ListBullet"/>
        <w:spacing w:before="20" w:after="20"/>
      </w:pPr>
      <w:r>
        <w:rPr>
          <w:rFonts w:ascii="Times New Roman" w:hAnsi="Times New Roman"/>
          <w:sz w:val="24"/>
        </w:rPr>
        <w:t>Trigram Jaccard: 3-character overlap ratio</w:t>
      </w:r>
    </w:p>
    <w:p>
      <w:pPr>
        <w:pStyle w:val="ListBullet"/>
        <w:spacing w:before="20" w:after="20"/>
      </w:pPr>
      <w:r>
        <w:rPr>
          <w:rFonts w:ascii="Times New Roman" w:hAnsi="Times New Roman"/>
          <w:sz w:val="24"/>
        </w:rPr>
        <w:t>Composite name similarity: maximum of multiple metrics with a phonetic boost when Double Metaphone codes match</w:t>
      </w:r>
    </w:p>
    <w:p>
      <w:pPr>
        <w:pStyle w:val="ListBullet"/>
        <w:spacing w:before="20" w:after="20"/>
      </w:pPr>
      <w:r>
        <w:rPr>
          <w:rFonts w:ascii="Times New Roman" w:hAnsi="Times New Roman"/>
          <w:sz w:val="24"/>
        </w:rPr>
        <w:t>Damerau-Levenshtein / Optimal String Alignment: handles the four edit operations (substitution, insertion, deletion, transposition) for catching typos</w:t>
      </w:r>
    </w:p>
    <w:p>
      <w:pPr>
        <w:pStyle w:val="ListBullet"/>
        <w:spacing w:before="20" w:after="20"/>
      </w:pPr>
      <w:r>
        <w:rPr>
          <w:rFonts w:ascii="Times New Roman" w:hAnsi="Times New Roman"/>
          <w:sz w:val="24"/>
        </w:rPr>
        <w:t>TF-IDF cosine similarity over character n-gram vectors</w:t>
      </w:r>
    </w:p>
    <w:p>
      <w:pPr>
        <w:pStyle w:val="ListBullet"/>
        <w:spacing w:before="20" w:after="20"/>
      </w:pPr>
      <w:r>
        <w:rPr>
          <w:rFonts w:ascii="Times New Roman" w:hAnsi="Times New Roman"/>
          <w:sz w:val="24"/>
        </w:rPr>
        <w:t>Double Metaphone phonetic match</w:t>
      </w:r>
    </w:p>
    <w:p>
      <w:pPr>
        <w:pStyle w:val="ListBullet"/>
        <w:spacing w:before="20" w:after="20"/>
      </w:pPr>
      <w:r>
        <w:rPr>
          <w:rFonts w:ascii="Times New Roman" w:hAnsi="Times New Roman"/>
          <w:sz w:val="24"/>
        </w:rPr>
        <w:t>Nickname equivalence: 1.0 if names are known equivalents (e.g., Bob/Robert), 0.0 otherwise</w:t>
      </w:r>
    </w:p>
    <w:p>
      <w:pPr>
        <w:spacing w:before="200" w:after="80"/>
      </w:pPr>
      <w:r>
        <w:rPr>
          <w:rFonts w:ascii="Arial" w:hAnsi="Arial"/>
          <w:b/>
          <w:color w:val="1E1B4B"/>
          <w:sz w:val="22"/>
        </w:rPr>
        <w:t>IV.C. Stage 3 — AI-Enhanced Disambiguation</w:t>
      </w:r>
    </w:p>
    <w:p>
      <w:pPr>
        <w:spacing w:before="40" w:after="80"/>
        <w:jc w:val="both"/>
      </w:pPr>
      <w:r>
        <w:rPr>
          <w:rFonts w:ascii="Times New Roman" w:hAnsi="Times New Roman"/>
          <w:b w:val="0"/>
          <w:i w:val="0"/>
          <w:sz w:val="24"/>
        </w:rPr>
        <w:t>Stage 3 is only invoked when: (a) the probabilistic score is in the ambiguous range [0.5, 0.9] and (b) the active matching rule has `useAIEnhancement = true`.</w:t>
      </w:r>
    </w:p>
    <w:p>
      <w:pPr>
        <w:spacing w:before="40" w:after="80"/>
        <w:jc w:val="both"/>
      </w:pPr>
      <w:r>
        <w:rPr>
          <w:rFonts w:ascii="Times New Roman" w:hAnsi="Times New Roman"/>
          <w:b w:val="0"/>
          <w:i w:val="0"/>
          <w:sz w:val="24"/>
        </w:rPr>
        <w:t>`AIEnhancedMatcher.score(partyA, partyB)` constructs a structured prompt with both records' key attributes and requests a numeric score and brief rationale:</w:t>
      </w:r>
    </w:p>
    <w:tbl>
      <w:tblPr>
        <w:tblStyle w:val="TableGrid"/>
        <w:tblW w:type="auto" w:w="0"/>
        <w:tblLook w:firstColumn="1" w:firstRow="1" w:lastColumn="0" w:lastRow="0" w:noHBand="0" w:noVBand="1" w:val="04A0"/>
      </w:tblPr>
      <w:tblGrid>
        <w:gridCol w:w="8640"/>
      </w:tblGrid>
      <w:tr>
        <w:tc>
          <w:tcPr>
            <w:tcW w:type="dxa" w:w="8640"/>
            <w:shd w:val="clear" w:color="auto" w:fill="F3F4F6"/>
          </w:tcPr>
          <w:p>
            <w:pPr>
              <w:spacing w:before="80" w:after="80"/>
            </w:pPr>
            <w:r>
              <w:rPr>
                <w:rFonts w:ascii="Courier New" w:hAnsi="Courier New"/>
                <w:sz w:val="18"/>
              </w:rPr>
              <w:t>SCORE:&lt;0.00-1.00&gt;|REASON:&lt;brief explanation&gt;</w:t>
            </w:r>
          </w:p>
        </w:tc>
      </w:tr>
    </w:tbl>
    <w:p/>
    <w:p>
      <w:pPr>
        <w:spacing w:before="40" w:after="80"/>
        <w:jc w:val="both"/>
      </w:pPr>
      <w:r>
        <w:rPr>
          <w:rFonts w:ascii="Times New Roman" w:hAnsi="Times New Roman"/>
          <w:b w:val="0"/>
          <w:i w:val="0"/>
          <w:sz w:val="24"/>
        </w:rPr>
        <w:t>The final blended score is `0.6 × probabilistic_score + 0.4 × ai_score`. The LLM adds value specifically in cases that are ambiguous to pure statistical methods — for example, distinguishing "IBM" from "IBM Global Services" when the tax IDs are not populated and the address is slightly different.</w:t>
      </w:r>
    </w:p>
    <w:p>
      <w:pPr>
        <w:spacing w:before="40" w:after="80"/>
        <w:jc w:val="both"/>
      </w:pPr>
      <w:r>
        <w:rPr>
          <w:rFonts w:ascii="Times New Roman" w:hAnsi="Times New Roman"/>
          <w:b w:val="0"/>
          <w:i w:val="0"/>
          <w:sz w:val="24"/>
        </w:rPr>
        <w:t>Using LLM matching for the full candidate pool would be too expensive and too slow. Using it only for the uncertain range makes the cost bounded and predictable.</w:t>
      </w:r>
    </w:p>
    <w:p>
      <w:pPr>
        <w:spacing w:before="200" w:after="80"/>
      </w:pPr>
      <w:r>
        <w:rPr>
          <w:rFonts w:ascii="Arial" w:hAnsi="Arial"/>
          <w:b/>
          <w:color w:val="1E1B4B"/>
          <w:sz w:val="22"/>
        </w:rPr>
        <w:t>IV.D. Routing Thresholds</w:t>
      </w:r>
    </w:p>
    <w:p>
      <w:pPr>
        <w:spacing w:before="40" w:after="80"/>
        <w:jc w:val="both"/>
      </w:pPr>
      <w:r>
        <w:rPr>
          <w:rFonts w:ascii="Times New Roman" w:hAnsi="Times New Roman"/>
          <w:b w:val="0"/>
          <w:i w:val="0"/>
          <w:sz w:val="24"/>
        </w:rPr>
        <w:t>After scoring, the top candidate's score drives the routing decision:</w:t>
      </w:r>
    </w:p>
    <w:p>
      <w:pPr>
        <w:spacing w:before="40" w:after="80"/>
        <w:jc w:val="both"/>
      </w:pPr>
      <w:r>
        <w:rPr>
          <w:rFonts w:ascii="Times New Roman" w:hAnsi="Times New Roman"/>
          <w:b w:val="0"/>
          <w:i w:val="0"/>
          <w:sz w:val="24"/>
        </w:rPr>
        <w:t>| Score | Action |</w:t>
      </w:r>
    </w:p>
    <w:p>
      <w:pPr>
        <w:spacing w:before="40" w:after="80"/>
        <w:jc w:val="both"/>
      </w:pPr>
      <w:r>
        <w:rPr>
          <w:rFonts w:ascii="Times New Roman" w:hAnsi="Times New Roman"/>
          <w:b w:val="0"/>
          <w:i w:val="0"/>
          <w:sz w:val="24"/>
        </w:rPr>
        <w:t>|---|---|</w:t>
      </w:r>
    </w:p>
    <w:p>
      <w:pPr>
        <w:spacing w:before="40" w:after="80"/>
        <w:jc w:val="both"/>
      </w:pPr>
      <w:r>
        <w:rPr>
          <w:rFonts w:ascii="Times New Roman" w:hAnsi="Times New Roman"/>
          <w:b w:val="0"/>
          <w:i w:val="0"/>
          <w:sz w:val="24"/>
        </w:rPr>
        <w:t>| ≥ 0.95 | AUTO_LINK — merge to existing cluster |</w:t>
      </w:r>
    </w:p>
    <w:p>
      <w:pPr>
        <w:spacing w:before="40" w:after="80"/>
        <w:jc w:val="both"/>
      </w:pPr>
      <w:r>
        <w:rPr>
          <w:rFonts w:ascii="Times New Roman" w:hAnsi="Times New Roman"/>
          <w:b w:val="0"/>
          <w:i w:val="0"/>
          <w:sz w:val="24"/>
        </w:rPr>
        <w:t>| 0.75 – 0.94 | SEND_TO_STEWARD — create steward review task |</w:t>
      </w:r>
    </w:p>
    <w:p>
      <w:pPr>
        <w:spacing w:before="40" w:after="80"/>
        <w:jc w:val="both"/>
      </w:pPr>
      <w:r>
        <w:rPr>
          <w:rFonts w:ascii="Times New Roman" w:hAnsi="Times New Roman"/>
          <w:b w:val="0"/>
          <w:i w:val="0"/>
          <w:sz w:val="24"/>
        </w:rPr>
        <w:t>| &lt; 0.75 | CREATE_NEW — independent new entity |</w:t>
      </w:r>
    </w:p>
    <w:p>
      <w:pPr>
        <w:spacing w:before="40" w:after="80"/>
        <w:jc w:val="both"/>
      </w:pPr>
      <w:r>
        <w:rPr>
          <w:rFonts w:ascii="Times New Roman" w:hAnsi="Times New Roman"/>
          <w:b w:val="0"/>
          <w:i w:val="0"/>
          <w:sz w:val="24"/>
        </w:rPr>
        <w:t>Thresholds are configurable per `MatchingRule` entity, allowing different sensitivity for different source systems or entity types.</w:t>
      </w:r>
    </w:p>
    <w:p>
      <w:pPr>
        <w:spacing w:before="80" w:after="80"/>
        <w:pBdr>
          <w:bottom w:val="single" w:sz="6" w:space="1" w:color="6B7280"/>
        </w:pBdr>
      </w:pPr>
    </w:p>
    <w:p>
      <w:pPr>
        <w:pStyle w:val="Heading3"/>
      </w:pPr>
      <w:r>
        <w:t>V. PROVISIONAL GOLDEN IDENTITY MANAGEMENT</w:t>
      </w:r>
    </w:p>
    <w:p>
      <w:pPr>
        <w:spacing w:before="200" w:after="80"/>
      </w:pPr>
      <w:r>
        <w:rPr>
          <w:rFonts w:ascii="Arial" w:hAnsi="Arial"/>
          <w:b/>
          <w:color w:val="1E1B4B"/>
          <w:sz w:val="22"/>
        </w:rPr>
        <w:t>V.A. The Problem in Concrete Terms</w:t>
      </w:r>
    </w:p>
    <w:p>
      <w:pPr>
        <w:spacing w:before="40" w:after="80"/>
        <w:jc w:val="both"/>
      </w:pPr>
      <w:r>
        <w:rPr>
          <w:rFonts w:ascii="Times New Roman" w:hAnsi="Times New Roman"/>
          <w:b w:val="0"/>
          <w:i w:val="0"/>
          <w:sz w:val="24"/>
        </w:rPr>
        <w:t>I want to be specific about what "null golden state" means in practice, because I think it's an underappreciated problem.</w:t>
      </w:r>
    </w:p>
    <w:p>
      <w:pPr>
        <w:spacing w:before="40" w:after="80"/>
        <w:jc w:val="both"/>
      </w:pPr>
      <w:r>
        <w:rPr>
          <w:rFonts w:ascii="Times New Roman" w:hAnsi="Times New Roman"/>
          <w:b w:val="0"/>
          <w:i w:val="0"/>
          <w:sz w:val="24"/>
        </w:rPr>
        <w:t>When a record is sent to steward review in a conventional MDM system:</w:t>
      </w:r>
    </w:p>
    <w:p>
      <w:pPr>
        <w:pStyle w:val="ListBullet"/>
        <w:spacing w:before="20" w:after="20"/>
      </w:pPr>
      <w:r>
        <w:rPr>
          <w:rFonts w:ascii="Times New Roman" w:hAnsi="Times New Roman"/>
          <w:sz w:val="24"/>
        </w:rPr>
        <w:t>The risk system queries by golden customer ID — gets nothing back</w:t>
      </w:r>
    </w:p>
    <w:p>
      <w:pPr>
        <w:pStyle w:val="ListBullet"/>
        <w:spacing w:before="20" w:after="20"/>
      </w:pPr>
      <w:r>
        <w:rPr>
          <w:rFonts w:ascii="Times New Roman" w:hAnsi="Times New Roman"/>
          <w:sz w:val="24"/>
        </w:rPr>
        <w:t>The compliance system can't record an activity against this customer</w:t>
      </w:r>
    </w:p>
    <w:p>
      <w:pPr>
        <w:pStyle w:val="ListBullet"/>
        <w:spacing w:before="20" w:after="20"/>
      </w:pPr>
      <w:r>
        <w:rPr>
          <w:rFonts w:ascii="Times New Roman" w:hAnsi="Times New Roman"/>
          <w:sz w:val="24"/>
        </w:rPr>
        <w:t>If another record comes in for the same person in the next 10 minutes, it goes to a second review task — but neither task knows about the other</w:t>
      </w:r>
    </w:p>
    <w:p>
      <w:pPr>
        <w:pStyle w:val="ListBullet"/>
        <w:spacing w:before="20" w:after="20"/>
      </w:pPr>
      <w:r>
        <w:rPr>
          <w:rFonts w:ascii="Times New Roman" w:hAnsi="Times New Roman"/>
          <w:sz w:val="24"/>
        </w:rPr>
        <w:t>Timeline events can't be indexed by golden ID because there is none</w:t>
      </w:r>
    </w:p>
    <w:p>
      <w:pPr>
        <w:pStyle w:val="ListBullet"/>
        <w:spacing w:before="20" w:after="20"/>
      </w:pPr>
      <w:r>
        <w:rPr>
          <w:rFonts w:ascii="Times New Roman" w:hAnsi="Times New Roman"/>
          <w:sz w:val="24"/>
        </w:rPr>
        <w:t>Downstream data warehouse feeds have a gap</w:t>
      </w:r>
    </w:p>
    <w:p>
      <w:pPr>
        <w:spacing w:before="40" w:after="80"/>
        <w:jc w:val="both"/>
      </w:pPr>
      <w:r>
        <w:rPr>
          <w:rFonts w:ascii="Times New Roman" w:hAnsi="Times New Roman"/>
          <w:b w:val="0"/>
          <w:i w:val="0"/>
          <w:sz w:val="24"/>
        </w:rPr>
        <w:t>This is not a hypothetical edge case. In a large bank processing 50,000 new customer records per day, there may be thousands of records in steward review at any given time. The null golden state affects all of them.</w:t>
      </w:r>
    </w:p>
    <w:p>
      <w:pPr>
        <w:spacing w:before="200" w:after="80"/>
      </w:pPr>
      <w:r>
        <w:rPr>
          <w:rFonts w:ascii="Arial" w:hAnsi="Arial"/>
          <w:b/>
          <w:color w:val="1E1B4B"/>
          <w:sz w:val="22"/>
        </w:rPr>
        <w:t>V.B. The Solution</w:t>
      </w:r>
    </w:p>
    <w:p>
      <w:pPr>
        <w:spacing w:before="40" w:after="80"/>
        <w:jc w:val="both"/>
      </w:pPr>
      <w:r>
        <w:rPr>
          <w:rFonts w:ascii="Times New Roman" w:hAnsi="Times New Roman"/>
          <w:b w:val="0"/>
          <w:i w:val="0"/>
          <w:sz w:val="24"/>
        </w:rPr>
        <w:t>When `PartyService.ingestParty()` routes a new record to `SEND_TO_STEWARD`:</w:t>
      </w:r>
    </w:p>
    <w:p>
      <w:pPr>
        <w:pStyle w:val="ListNumber"/>
        <w:spacing w:before="20" w:after="20"/>
      </w:pPr>
      <w:r>
        <w:rPr>
          <w:rFonts w:ascii="Times New Roman" w:hAnsi="Times New Roman"/>
          <w:sz w:val="24"/>
        </w:rPr>
        <w:t>`generateGoldenId()` is called — produces a zero-padded random numeric string (e.g., `0000000012847593`)</w:t>
      </w:r>
    </w:p>
    <w:p>
      <w:pPr>
        <w:pStyle w:val="ListNumber"/>
        <w:spacing w:before="20" w:after="20"/>
      </w:pPr>
      <w:r>
        <w:rPr>
          <w:rFonts w:ascii="Times New Roman" w:hAnsi="Times New Roman"/>
          <w:sz w:val="24"/>
        </w:rPr>
        <w:t>The incoming party is assigned this provisional golden ID: `incoming.setGoldenRecordId(provisionalId)`</w:t>
      </w:r>
    </w:p>
    <w:p>
      <w:pPr>
        <w:pStyle w:val="ListNumber"/>
        <w:spacing w:before="20" w:after="20"/>
      </w:pPr>
      <w:r>
        <w:rPr>
          <w:rFonts w:ascii="Times New Roman" w:hAnsi="Times New Roman"/>
          <w:sz w:val="24"/>
        </w:rPr>
        <w:t>The party is saved to Neo4j with `isGolden = false` (marking it as a source record, not the cluster representative)</w:t>
      </w:r>
    </w:p>
    <w:p>
      <w:pPr>
        <w:pStyle w:val="ListNumber"/>
        <w:spacing w:before="20" w:after="20"/>
      </w:pPr>
      <w:r>
        <w:rPr>
          <w:rFonts w:ascii="Times New Roman" w:hAnsi="Times New Roman"/>
          <w:sz w:val="24"/>
        </w:rPr>
        <w:t>`GoldenRecordService.createNewGoldenRecord(provisionalId, List.of(savedParty))` is called immediately — a complete golden record is assembled with survivorship rules applied from this single source record</w:t>
      </w:r>
    </w:p>
    <w:p>
      <w:pPr>
        <w:pStyle w:val="ListNumber"/>
        <w:spacing w:before="20" w:after="20"/>
      </w:pPr>
      <w:r>
        <w:rPr>
          <w:rFonts w:ascii="Times New Roman" w:hAnsi="Times New Roman"/>
          <w:sz w:val="24"/>
        </w:rPr>
        <w:t>The provisional record is added to the blocking index: `indexParty(savedParty)`</w:t>
      </w:r>
    </w:p>
    <w:p>
      <w:pPr>
        <w:pStyle w:val="ListNumber"/>
        <w:spacing w:before="20" w:after="20"/>
      </w:pPr>
      <w:r>
        <w:rPr>
          <w:rFonts w:ascii="Times New Roman" w:hAnsi="Times New Roman"/>
          <w:sz w:val="24"/>
        </w:rPr>
        <w:t>A steward task is created with `candidateIds = [existingCandidateGoldenId, provisionalGoldenId]`</w:t>
      </w:r>
    </w:p>
    <w:p>
      <w:pPr>
        <w:spacing w:before="40" w:after="80"/>
        <w:jc w:val="both"/>
      </w:pPr>
      <w:r>
        <w:rPr>
          <w:rFonts w:ascii="Times New Roman" w:hAnsi="Times New Roman"/>
          <w:b w:val="0"/>
          <w:i w:val="0"/>
          <w:sz w:val="24"/>
        </w:rPr>
        <w:t>From this point, `provisionalId` works exactly like any permanent golden ID. The record is retrievable, it can receive timeline events, it shows up as a candidate for future matches, and the survivorship engine can assemble a golden view from it.</w:t>
      </w:r>
    </w:p>
    <w:p>
      <w:pPr>
        <w:spacing w:before="40" w:after="40"/>
        <w:jc w:val="both"/>
      </w:pPr>
      <w:r>
        <w:rPr>
          <w:rFonts w:ascii="Times New Roman" w:hAnsi="Times New Roman"/>
          <w:b/>
          <w:i w:val="0"/>
          <w:sz w:val="24"/>
        </w:rPr>
        <w:t>If the steward approves the merge:</w:t>
      </w:r>
    </w:p>
    <w:p>
      <w:pPr>
        <w:spacing w:before="40" w:after="80"/>
        <w:jc w:val="both"/>
      </w:pPr>
      <w:r>
        <w:rPr>
          <w:rFonts w:ascii="Times New Roman" w:hAnsi="Times New Roman"/>
          <w:b w:val="0"/>
          <w:i w:val="0"/>
          <w:sz w:val="24"/>
        </w:rPr>
        <w:t>`StewardService.executeResolution()` calls `mergeGoldenRecords(survivingId, provisionalId)`. The party record is re-pointed to `survivingId`. The provisional golden record is deleted or archived. The surviving cluster's golden record is refreshed.</w:t>
      </w:r>
    </w:p>
    <w:p>
      <w:pPr>
        <w:spacing w:before="40" w:after="40"/>
        <w:jc w:val="both"/>
      </w:pPr>
      <w:r>
        <w:rPr>
          <w:rFonts w:ascii="Times New Roman" w:hAnsi="Times New Roman"/>
          <w:b/>
          <w:i w:val="0"/>
          <w:sz w:val="24"/>
        </w:rPr>
        <w:t>If the steward rejects the merge:</w:t>
      </w:r>
    </w:p>
    <w:p>
      <w:pPr>
        <w:spacing w:before="40" w:after="80"/>
        <w:jc w:val="both"/>
      </w:pPr>
      <w:r>
        <w:rPr>
          <w:rFonts w:ascii="Times New Roman" w:hAnsi="Times New Roman"/>
          <w:b w:val="0"/>
          <w:i w:val="0"/>
          <w:sz w:val="24"/>
        </w:rPr>
        <w:t>No action needed. `provisionalId` becomes the permanent golden ID for this record. The review task is closed.</w:t>
      </w:r>
    </w:p>
    <w:p>
      <w:pPr>
        <w:spacing w:before="40" w:after="40"/>
        <w:jc w:val="both"/>
      </w:pPr>
      <w:r>
        <w:rPr>
          <w:rFonts w:ascii="Times New Roman" w:hAnsi="Times New Roman"/>
          <w:b/>
          <w:sz w:val="24"/>
        </w:rPr>
        <w:t>The guarantee:</w:t>
      </w:r>
      <w:r>
        <w:rPr>
          <w:rFonts w:ascii="Times New Roman" w:hAnsi="Times New Roman"/>
          <w:sz w:val="24"/>
        </w:rPr>
        <w:t xml:space="preserve"> Every party record written to the database has a valid golden identifier at all times. There is no window — not even for a fraction of a second — where a record exists without an identity.</w:t>
      </w:r>
    </w:p>
    <w:p>
      <w:pPr>
        <w:spacing w:before="200" w:after="80"/>
      </w:pPr>
      <w:r>
        <w:rPr>
          <w:rFonts w:ascii="Arial" w:hAnsi="Arial"/>
          <w:b/>
          <w:color w:val="1E1B4B"/>
          <w:sz w:val="22"/>
        </w:rPr>
        <w:t>V.C. Client-Supplied Identity Migration</w:t>
      </w:r>
    </w:p>
    <w:p>
      <w:pPr>
        <w:spacing w:before="40" w:after="80"/>
        <w:jc w:val="both"/>
      </w:pPr>
      <w:r>
        <w:rPr>
          <w:rFonts w:ascii="Times New Roman" w:hAnsi="Times New Roman"/>
          <w:b w:val="0"/>
          <w:i w:val="0"/>
          <w:sz w:val="24"/>
        </w:rPr>
        <w:t>For migrating from legacy systems with existing identifiers:</w:t>
      </w:r>
    </w:p>
    <w:tbl>
      <w:tblPr>
        <w:tblStyle w:val="TableGrid"/>
        <w:tblW w:type="auto" w:w="0"/>
        <w:tblLook w:firstColumn="1" w:firstRow="1" w:lastColumn="0" w:lastRow="0" w:noHBand="0" w:noVBand="1" w:val="04A0"/>
      </w:tblPr>
      <w:tblGrid>
        <w:gridCol w:w="8640"/>
      </w:tblGrid>
      <w:tr>
        <w:tc>
          <w:tcPr>
            <w:tcW w:type="dxa" w:w="8640"/>
            <w:shd w:val="clear" w:color="auto" w:fill="F3F4F6"/>
          </w:tcPr>
          <w:p>
            <w:pPr>
              <w:spacing w:before="80" w:after="80"/>
            </w:pPr>
            <w:r>
              <w:rPr>
                <w:rFonts w:ascii="Courier New" w:hAnsi="Courier New"/>
                <w:sz w:val="18"/>
              </w:rPr>
              <w:t>POST /api/v1/parties/ingest</w:t>
              <w:br/>
              <w:t>{ "goldenRecordId": "LEGACY-CUST-10004231", ... }</w:t>
            </w:r>
          </w:p>
        </w:tc>
      </w:tr>
    </w:tbl>
    <w:p/>
    <w:p>
      <w:pPr>
        <w:spacing w:before="40" w:after="80"/>
        <w:jc w:val="both"/>
      </w:pPr>
      <w:r>
        <w:rPr>
          <w:rFonts w:ascii="Times New Roman" w:hAnsi="Times New Roman"/>
          <w:b w:val="0"/>
          <w:i w:val="0"/>
          <w:sz w:val="24"/>
        </w:rPr>
        <w:t>When `goldenRecordId` is non-blank in the ingest payload, the matching engine is skipped entirely and the supplied identifier is used as the golden ID. This allows organizations to migrate existing customer master data into Averio MDM without losing their existing identity keys.</w:t>
      </w:r>
    </w:p>
    <w:p>
      <w:pPr>
        <w:spacing w:before="80" w:after="80"/>
        <w:pBdr>
          <w:bottom w:val="single" w:sz="6" w:space="1" w:color="6B7280"/>
        </w:pBdr>
      </w:pPr>
    </w:p>
    <w:p>
      <w:pPr>
        <w:pStyle w:val="Heading3"/>
      </w:pPr>
      <w:r>
        <w:t>VI. POST-UPDATE CLUSTER DRIFT DETECTION</w:t>
      </w:r>
    </w:p>
    <w:p>
      <w:pPr>
        <w:spacing w:before="200" w:after="80"/>
      </w:pPr>
      <w:r>
        <w:rPr>
          <w:rFonts w:ascii="Arial" w:hAnsi="Arial"/>
          <w:b/>
          <w:color w:val="1E1B4B"/>
          <w:sz w:val="22"/>
        </w:rPr>
        <w:t>VI.A. The Problem</w:t>
      </w:r>
    </w:p>
    <w:p>
      <w:pPr>
        <w:spacing w:before="40" w:after="80"/>
        <w:jc w:val="both"/>
      </w:pPr>
      <w:r>
        <w:rPr>
          <w:rFonts w:ascii="Times New Roman" w:hAnsi="Times New Roman"/>
          <w:b w:val="0"/>
          <w:i w:val="0"/>
          <w:sz w:val="24"/>
        </w:rPr>
        <w:t>Here's a scenario that happens more often than it should:</w:t>
      </w:r>
    </w:p>
    <w:p>
      <w:pPr>
        <w:spacing w:before="40" w:after="80"/>
        <w:jc w:val="both"/>
      </w:pPr>
      <w:r>
        <w:rPr>
          <w:rFonts w:ascii="Times New Roman" w:hAnsi="Times New Roman"/>
          <w:b w:val="0"/>
          <w:i w:val="0"/>
          <w:sz w:val="24"/>
        </w:rPr>
        <w:t>Two records for different entities both had the phone number `+1-212-555-0100` in the source systems. They were merged into the same cluster on the strength of that phone match. Later, one record gets corrected — it turns out that was a data entry error, the real number is `+1-415-555-0200`. The cluster membership is now wrong. The records no longer have matching attributes, but the merge stays.</w:t>
      </w:r>
    </w:p>
    <w:p>
      <w:pPr>
        <w:spacing w:before="40" w:after="80"/>
        <w:jc w:val="both"/>
      </w:pPr>
      <w:r>
        <w:rPr>
          <w:rFonts w:ascii="Times New Roman" w:hAnsi="Times New Roman"/>
          <w:b w:val="0"/>
          <w:i w:val="0"/>
          <w:sz w:val="24"/>
        </w:rPr>
        <w:t>In every commercial MDM system I looked at, this stays wrong indefinitely unless a data steward happens to manually review it. There's no automated detection of this condition.</w:t>
      </w:r>
    </w:p>
    <w:p>
      <w:pPr>
        <w:spacing w:before="40" w:after="80"/>
        <w:jc w:val="both"/>
      </w:pPr>
      <w:r>
        <w:rPr>
          <w:rFonts w:ascii="Times New Roman" w:hAnsi="Times New Roman"/>
          <w:b w:val="0"/>
          <w:i w:val="0"/>
          <w:sz w:val="24"/>
        </w:rPr>
        <w:t>I built `PartyService.reEvaluatePartyPlacement()` specifically to catch this.</w:t>
      </w:r>
    </w:p>
    <w:p>
      <w:pPr>
        <w:spacing w:before="200" w:after="80"/>
      </w:pPr>
      <w:r>
        <w:rPr>
          <w:rFonts w:ascii="Arial" w:hAnsi="Arial"/>
          <w:b/>
          <w:color w:val="1E1B4B"/>
          <w:sz w:val="22"/>
        </w:rPr>
        <w:t>VI.B. The Detection Algorithm</w:t>
      </w:r>
    </w:p>
    <w:p>
      <w:pPr>
        <w:spacing w:before="40" w:after="80"/>
        <w:jc w:val="both"/>
      </w:pPr>
      <w:r>
        <w:rPr>
          <w:rFonts w:ascii="Times New Roman" w:hAnsi="Times New Roman"/>
          <w:b w:val="0"/>
          <w:i w:val="0"/>
          <w:sz w:val="24"/>
        </w:rPr>
        <w:t>`reEvaluatePartyPlacement(Party party, String updatedBy)` is called at the end of every `updateParty()` operation.</w:t>
      </w:r>
    </w:p>
    <w:p>
      <w:pPr>
        <w:spacing w:before="40" w:after="40"/>
        <w:jc w:val="both"/>
      </w:pPr>
      <w:r>
        <w:rPr>
          <w:rFonts w:ascii="Times New Roman" w:hAnsi="Times New Roman"/>
          <w:b/>
          <w:i w:val="0"/>
          <w:sz w:val="24"/>
        </w:rPr>
        <w:t>Step 1 — Score against current cluster siblings:</w:t>
      </w:r>
    </w:p>
    <w:tbl>
      <w:tblPr>
        <w:tblStyle w:val="TableGrid"/>
        <w:tblW w:type="auto" w:w="0"/>
        <w:tblLook w:firstColumn="1" w:firstRow="1" w:lastColumn="0" w:lastRow="0" w:noHBand="0" w:noVBand="1" w:val="04A0"/>
      </w:tblPr>
      <w:tblGrid>
        <w:gridCol w:w="8640"/>
      </w:tblGrid>
      <w:tr>
        <w:tc>
          <w:tcPr>
            <w:tcW w:type="dxa" w:w="8640"/>
            <w:shd w:val="clear" w:color="auto" w:fill="F3F4F6"/>
          </w:tcPr>
          <w:p>
            <w:pPr>
              <w:spacing w:before="80" w:after="80"/>
            </w:pPr>
            <w:r>
              <w:rPr>
                <w:rFonts w:ascii="Courier New" w:hAnsi="Courier New"/>
                <w:sz w:val="18"/>
              </w:rPr>
              <w:t>List&lt;Party&gt; siblings = partyRepository.findByGoldenRecordId(currentGoldenId)</w:t>
              <w:br/>
              <w:t xml:space="preserve">    .stream()</w:t>
              <w:br/>
              <w:t xml:space="preserve">    .filter(s -&gt; !s.getGlobalId().equals(party.getGlobalId()))</w:t>
              <w:br/>
              <w:t xml:space="preserve">    .collect(Collectors.toList());</w:t>
            </w:r>
          </w:p>
        </w:tc>
      </w:tr>
    </w:tbl>
    <w:p/>
    <w:p>
      <w:pPr>
        <w:spacing w:before="40" w:after="80"/>
        <w:jc w:val="both"/>
      </w:pPr>
      <w:r>
        <w:rPr>
          <w:rFonts w:ascii="Times New Roman" w:hAnsi="Times New Roman"/>
          <w:b w:val="0"/>
          <w:i w:val="0"/>
          <w:sz w:val="24"/>
        </w:rPr>
        <w:t>Run the matching engine against all siblings. Record `bestSiblingScore`.</w:t>
      </w:r>
    </w:p>
    <w:p>
      <w:pPr>
        <w:spacing w:before="40" w:after="40"/>
        <w:jc w:val="both"/>
      </w:pPr>
      <w:r>
        <w:rPr>
          <w:rFonts w:ascii="Times New Roman" w:hAnsi="Times New Roman"/>
          <w:b/>
          <w:i w:val="0"/>
          <w:sz w:val="24"/>
        </w:rPr>
        <w:t>Step 2 — Threshold check:</w:t>
      </w:r>
    </w:p>
    <w:p>
      <w:pPr>
        <w:spacing w:before="40" w:after="80"/>
        <w:jc w:val="both"/>
      </w:pPr>
      <w:r>
        <w:rPr>
          <w:rFonts w:ascii="Times New Roman" w:hAnsi="Times New Roman"/>
          <w:b w:val="0"/>
          <w:i w:val="0"/>
          <w:sz w:val="24"/>
        </w:rPr>
        <w:t>If `bestSiblingScore &gt;= 0.75`, the updated record still statistically belongs in its cluster. Return. Nothing to do — this is the common case and it exits cheaply.</w:t>
      </w:r>
    </w:p>
    <w:p>
      <w:pPr>
        <w:spacing w:before="40" w:after="40"/>
        <w:jc w:val="both"/>
      </w:pPr>
      <w:r>
        <w:rPr>
          <w:rFonts w:ascii="Times New Roman" w:hAnsi="Times New Roman"/>
          <w:b/>
          <w:i w:val="0"/>
          <w:sz w:val="24"/>
        </w:rPr>
        <w:t>Step 3 — External candidate search (drift confirmed):</w:t>
      </w:r>
    </w:p>
    <w:p>
      <w:pPr>
        <w:spacing w:before="40" w:after="80"/>
        <w:jc w:val="both"/>
      </w:pPr>
      <w:r>
        <w:rPr>
          <w:rFonts w:ascii="Times New Roman" w:hAnsi="Times New Roman"/>
          <w:b w:val="0"/>
          <w:i w:val="0"/>
          <w:sz w:val="24"/>
        </w:rPr>
        <w:t>If `bestSiblingScore &lt; 0.75`, drift is confirmed. Run full blocking + scoring against all golden clusters:</w:t>
      </w:r>
    </w:p>
    <w:tbl>
      <w:tblPr>
        <w:tblStyle w:val="TableGrid"/>
        <w:tblW w:type="auto" w:w="0"/>
        <w:tblLook w:firstColumn="1" w:firstRow="1" w:lastColumn="0" w:lastRow="0" w:noHBand="0" w:noVBand="1" w:val="04A0"/>
      </w:tblPr>
      <w:tblGrid>
        <w:gridCol w:w="8640"/>
      </w:tblGrid>
      <w:tr>
        <w:tc>
          <w:tcPr>
            <w:tcW w:type="dxa" w:w="8640"/>
            <w:shd w:val="clear" w:color="auto" w:fill="F3F4F6"/>
          </w:tcPr>
          <w:p>
            <w:pPr>
              <w:spacing w:before="80" w:after="80"/>
            </w:pPr>
            <w:r>
              <w:rPr>
                <w:rFonts w:ascii="Courier New" w:hAnsi="Courier New"/>
                <w:sz w:val="18"/>
              </w:rPr>
              <w:t>MatchingEngine.MatchResult externalResult = matchingEngine.findMatchesWithBlocking(party, null);</w:t>
            </w:r>
          </w:p>
        </w:tc>
      </w:tr>
    </w:tbl>
    <w:p/>
    <w:p>
      <w:pPr>
        <w:spacing w:before="40" w:after="80"/>
        <w:jc w:val="both"/>
      </w:pPr>
      <w:r>
        <w:rPr>
          <w:rFonts w:ascii="Times New Roman" w:hAnsi="Times New Roman"/>
          <w:b w:val="0"/>
          <w:i w:val="0"/>
          <w:sz w:val="24"/>
        </w:rPr>
        <w:t>Filter to candidates in a *different* golden cluster than the current one.</w:t>
      </w:r>
    </w:p>
    <w:p>
      <w:pPr>
        <w:spacing w:before="40" w:after="40"/>
        <w:jc w:val="both"/>
      </w:pPr>
      <w:r>
        <w:rPr>
          <w:rFonts w:ascii="Times New Roman" w:hAnsi="Times New Roman"/>
          <w:b/>
          <w:i w:val="0"/>
          <w:sz w:val="24"/>
        </w:rPr>
        <w:t>Step 4 — Remediation:</w:t>
      </w:r>
    </w:p>
    <w:p>
      <w:pPr>
        <w:spacing w:before="40" w:after="80"/>
        <w:jc w:val="both"/>
      </w:pPr>
      <w:r>
        <w:rPr>
          <w:rFonts w:ascii="Times New Roman" w:hAnsi="Times New Roman"/>
          <w:b w:val="0"/>
          <w:i w:val="0"/>
          <w:sz w:val="24"/>
        </w:rPr>
        <w:t>| Condition | Action |</w:t>
      </w:r>
    </w:p>
    <w:p>
      <w:pPr>
        <w:spacing w:before="40" w:after="80"/>
        <w:jc w:val="both"/>
      </w:pPr>
      <w:r>
        <w:rPr>
          <w:rFonts w:ascii="Times New Roman" w:hAnsi="Times New Roman"/>
          <w:b w:val="0"/>
          <w:i w:val="0"/>
          <w:sz w:val="24"/>
        </w:rPr>
        <w:t>|---|---|</w:t>
      </w:r>
    </w:p>
    <w:p>
      <w:pPr>
        <w:spacing w:before="40" w:after="80"/>
        <w:jc w:val="both"/>
      </w:pPr>
      <w:r>
        <w:rPr>
          <w:rFonts w:ascii="Times New Roman" w:hAnsi="Times New Roman"/>
          <w:b w:val="0"/>
          <w:i w:val="0"/>
          <w:sz w:val="24"/>
        </w:rPr>
        <w:t>| External score ≥ 0.95 | Auto-reassign to external cluster |</w:t>
      </w:r>
    </w:p>
    <w:p>
      <w:pPr>
        <w:spacing w:before="40" w:after="80"/>
        <w:jc w:val="both"/>
      </w:pPr>
      <w:r>
        <w:rPr>
          <w:rFonts w:ascii="Times New Roman" w:hAnsi="Times New Roman"/>
          <w:b w:val="0"/>
          <w:i w:val="0"/>
          <w:sz w:val="24"/>
        </w:rPr>
        <w:t>| External score 0.75–0.94 | Send to steward for review |</w:t>
      </w:r>
    </w:p>
    <w:p>
      <w:pPr>
        <w:spacing w:before="40" w:after="80"/>
        <w:jc w:val="both"/>
      </w:pPr>
      <w:r>
        <w:rPr>
          <w:rFonts w:ascii="Times New Roman" w:hAnsi="Times New Roman"/>
          <w:b w:val="0"/>
          <w:i w:val="0"/>
          <w:sz w:val="24"/>
        </w:rPr>
        <w:t>| No qualifying external match | Detach to new golden cluster |</w:t>
      </w:r>
    </w:p>
    <w:p>
      <w:pPr>
        <w:spacing w:before="40" w:after="40"/>
        <w:jc w:val="both"/>
      </w:pPr>
      <w:r>
        <w:rPr>
          <w:rFonts w:ascii="Times New Roman" w:hAnsi="Times New Roman"/>
          <w:b/>
          <w:i w:val="0"/>
          <w:sz w:val="24"/>
        </w:rPr>
        <w:t>Step 5 — Refresh old cluster:</w:t>
      </w:r>
    </w:p>
    <w:p>
      <w:pPr>
        <w:spacing w:before="40" w:after="80"/>
        <w:jc w:val="both"/>
      </w:pPr>
      <w:r>
        <w:rPr>
          <w:rFonts w:ascii="Times New Roman" w:hAnsi="Times New Roman"/>
          <w:b w:val="0"/>
          <w:i w:val="0"/>
          <w:sz w:val="24"/>
        </w:rPr>
        <w:t>After any branch, `goldenRecordService.refreshGoldenRecord(currentGoldenId)` recomputes the surviving cluster's golden record without the departed party.</w:t>
      </w:r>
    </w:p>
    <w:p>
      <w:pPr>
        <w:spacing w:before="200" w:after="80"/>
      </w:pPr>
      <w:r>
        <w:rPr>
          <w:rFonts w:ascii="Arial" w:hAnsi="Arial"/>
          <w:b/>
          <w:color w:val="1E1B4B"/>
          <w:sz w:val="22"/>
        </w:rPr>
        <w:t>VI.C. Timeline Events for Cluster Changes</w:t>
      </w:r>
    </w:p>
    <w:p>
      <w:pPr>
        <w:spacing w:before="40" w:after="80"/>
        <w:jc w:val="both"/>
      </w:pPr>
      <w:r>
        <w:rPr>
          <w:rFonts w:ascii="Times New Roman" w:hAnsi="Times New Roman"/>
          <w:b w:val="0"/>
          <w:i w:val="0"/>
          <w:sz w:val="24"/>
        </w:rPr>
        <w:t>Every cluster membership change is recorded as an immutable event document in Cosmos DB, partitioned by golden record ID. This creates a complete audit trail of cluster history:</w:t>
      </w:r>
    </w:p>
    <w:p>
      <w:pPr>
        <w:pStyle w:val="ListBullet"/>
        <w:spacing w:before="20" w:after="20"/>
      </w:pPr>
      <w:r>
        <w:rPr>
          <w:rFonts w:ascii="Times New Roman" w:hAnsi="Times New Roman"/>
          <w:sz w:val="24"/>
        </w:rPr>
        <w:t>`PARTY_LEFT_CLUSTER` — recorded on the old golden ID</w:t>
      </w:r>
    </w:p>
    <w:p>
      <w:pPr>
        <w:pStyle w:val="ListBullet"/>
        <w:spacing w:before="20" w:after="20"/>
      </w:pPr>
      <w:r>
        <w:rPr>
          <w:rFonts w:ascii="Times New Roman" w:hAnsi="Times New Roman"/>
          <w:sz w:val="24"/>
        </w:rPr>
        <w:t>`PARTY_JOINED_CLUSTER` — recorded on the new golden ID</w:t>
      </w:r>
    </w:p>
    <w:p>
      <w:pPr>
        <w:pStyle w:val="ListBullet"/>
        <w:spacing w:before="20" w:after="20"/>
      </w:pPr>
      <w:r>
        <w:rPr>
          <w:rFonts w:ascii="Times New Roman" w:hAnsi="Times New Roman"/>
          <w:sz w:val="24"/>
        </w:rPr>
        <w:t>`CLUSTER_DRIFT_REVIEW_REQUESTED` — recorded on the old golden ID when sent to steward</w:t>
      </w:r>
    </w:p>
    <w:p>
      <w:pPr>
        <w:pStyle w:val="ListBullet"/>
        <w:spacing w:before="20" w:after="20"/>
      </w:pPr>
      <w:r>
        <w:rPr>
          <w:rFonts w:ascii="Times New Roman" w:hAnsi="Times New Roman"/>
          <w:sz w:val="24"/>
        </w:rPr>
        <w:t>`PARTY_DETACHED_FROM_CLUSTER` — recorded on the old golden ID</w:t>
      </w:r>
    </w:p>
    <w:p>
      <w:pPr>
        <w:pStyle w:val="ListBullet"/>
        <w:spacing w:before="20" w:after="20"/>
      </w:pPr>
      <w:r>
        <w:rPr>
          <w:rFonts w:ascii="Times New Roman" w:hAnsi="Times New Roman"/>
          <w:sz w:val="24"/>
        </w:rPr>
        <w:t>`GOLDEN_CREATED_AFTER_DRIFT` — recorded on the new golden ID</w:t>
      </w:r>
    </w:p>
    <w:p>
      <w:pPr>
        <w:spacing w:before="40" w:after="80"/>
        <w:jc w:val="both"/>
      </w:pPr>
      <w:r>
        <w:rPr>
          <w:rFonts w:ascii="Times New Roman" w:hAnsi="Times New Roman"/>
          <w:b w:val="0"/>
          <w:i w:val="0"/>
          <w:sz w:val="24"/>
        </w:rPr>
        <w:t>These events enable point-in-time reconstruction of which records belonged to which cluster at any historical date — something compliance and audit teams in financial services need regularly.</w:t>
      </w:r>
    </w:p>
    <w:p>
      <w:pPr>
        <w:spacing w:before="80" w:after="80"/>
        <w:pBdr>
          <w:bottom w:val="single" w:sz="6" w:space="1" w:color="6B7280"/>
        </w:pBdr>
      </w:pPr>
    </w:p>
    <w:p>
      <w:pPr>
        <w:pStyle w:val="Heading3"/>
      </w:pPr>
      <w:r>
        <w:t>VII. TRANSITIVE CLUSTER MERGING</w:t>
      </w:r>
    </w:p>
    <w:p>
      <w:pPr>
        <w:spacing w:before="40" w:after="80"/>
        <w:jc w:val="both"/>
      </w:pPr>
      <w:r>
        <w:rPr>
          <w:rFonts w:ascii="Times New Roman" w:hAnsi="Times New Roman"/>
          <w:b w:val="0"/>
          <w:i w:val="0"/>
          <w:sz w:val="24"/>
        </w:rPr>
        <w:t>`ClusterMergeService` handles the transitive closure problem: if A matches B and B matches C, all three belong in the same cluster even if A and C were never directly compared.</w:t>
      </w:r>
    </w:p>
    <w:p>
      <w:pPr>
        <w:spacing w:before="40" w:after="80"/>
        <w:jc w:val="both"/>
      </w:pPr>
      <w:r>
        <w:rPr>
          <w:rFonts w:ascii="Times New Roman" w:hAnsi="Times New Roman"/>
          <w:b w:val="0"/>
          <w:i w:val="0"/>
          <w:sz w:val="24"/>
        </w:rPr>
        <w:t>The Union-Find (Disjoint Set Union) algorithm handles this:</w:t>
      </w:r>
    </w:p>
    <w:p>
      <w:pPr>
        <w:pStyle w:val="ListNumber"/>
        <w:spacing w:before="20" w:after="20"/>
      </w:pPr>
      <w:r>
        <w:rPr>
          <w:rFonts w:ascii="Times New Roman" w:hAnsi="Times New Roman"/>
          <w:sz w:val="24"/>
        </w:rPr>
        <w:t>Initialize each record as its own root.</w:t>
      </w:r>
    </w:p>
    <w:p>
      <w:pPr>
        <w:pStyle w:val="ListNumber"/>
        <w:spacing w:before="20" w:after="20"/>
      </w:pPr>
      <w:r>
        <w:rPr>
          <w:rFonts w:ascii="Times New Roman" w:hAnsi="Times New Roman"/>
          <w:sz w:val="24"/>
        </w:rPr>
        <w:t>For each pair (A, B) with score above the link threshold, call `union(A, B)`.</w:t>
      </w:r>
    </w:p>
    <w:p>
      <w:pPr>
        <w:pStyle w:val="ListNumber"/>
        <w:spacing w:before="20" w:after="20"/>
      </w:pPr>
      <w:r>
        <w:rPr>
          <w:rFonts w:ascii="Times New Roman" w:hAnsi="Times New Roman"/>
          <w:sz w:val="24"/>
        </w:rPr>
        <w:t>Path compression and union-by-rank keep each `find()` at effectively O(1) amortized (the inverse Ackermann function α(N) ≈ 4 for any realistic N).</w:t>
      </w:r>
    </w:p>
    <w:p>
      <w:pPr>
        <w:pStyle w:val="ListNumber"/>
        <w:spacing w:before="20" w:after="20"/>
      </w:pPr>
      <w:r>
        <w:rPr>
          <w:rFonts w:ascii="Times New Roman" w:hAnsi="Times New Roman"/>
          <w:sz w:val="24"/>
        </w:rPr>
        <w:t>`getClusters()` groups records by their root representative.</w:t>
      </w:r>
    </w:p>
    <w:p>
      <w:pPr>
        <w:spacing w:before="40" w:after="80"/>
        <w:jc w:val="both"/>
      </w:pPr>
      <w:r>
        <w:rPr>
          <w:rFonts w:ascii="Times New Roman" w:hAnsi="Times New Roman"/>
          <w:b w:val="0"/>
          <w:i w:val="0"/>
          <w:sz w:val="24"/>
        </w:rPr>
        <w:t>This guarantees no two records that are transitively connected end up in separate golden clusters.</w:t>
      </w:r>
    </w:p>
    <w:p>
      <w:pPr>
        <w:spacing w:before="80" w:after="80"/>
        <w:pBdr>
          <w:bottom w:val="single" w:sz="6" w:space="1" w:color="6B7280"/>
        </w:pBdr>
      </w:pPr>
    </w:p>
    <w:p>
      <w:pPr>
        <w:pStyle w:val="Heading3"/>
      </w:pPr>
      <w:r>
        <w:t>VIII. QUERY-TIME SURVIVORSHIP RULE ENGINE</w:t>
      </w:r>
    </w:p>
    <w:p>
      <w:pPr>
        <w:spacing w:before="200" w:after="80"/>
      </w:pPr>
      <w:r>
        <w:rPr>
          <w:rFonts w:ascii="Arial" w:hAnsi="Arial"/>
          <w:b/>
          <w:color w:val="1E1B4B"/>
          <w:sz w:val="22"/>
        </w:rPr>
        <w:t>VIII.A. Why Not Pre-Compute Golden Records</w:t>
      </w:r>
    </w:p>
    <w:p>
      <w:pPr>
        <w:spacing w:before="40" w:after="80"/>
        <w:jc w:val="both"/>
      </w:pPr>
      <w:r>
        <w:rPr>
          <w:rFonts w:ascii="Times New Roman" w:hAnsi="Times New Roman"/>
          <w:b w:val="0"/>
          <w:i w:val="0"/>
          <w:sz w:val="24"/>
        </w:rPr>
        <w:t>Most MDM systems compute and store a static "golden record" — a single merged view of the best attributes from all contributing source records. The problem with this approach: if you change a survivorship rule (say, switching from "most recent wins" to "source system X always wins" for the address field), you have to recompute the golden record for every cluster that has a contributing address from source X. For millions of records, that's a batch job.</w:t>
      </w:r>
    </w:p>
    <w:p>
      <w:pPr>
        <w:spacing w:before="40" w:after="80"/>
        <w:jc w:val="both"/>
      </w:pPr>
      <w:r>
        <w:rPr>
          <w:rFonts w:ascii="Times New Roman" w:hAnsi="Times New Roman"/>
          <w:b w:val="0"/>
          <w:i w:val="0"/>
          <w:sz w:val="24"/>
        </w:rPr>
        <w:t>In Averio MDM, golden records are not stored. They are assembled from source records at query time by applying the configured survivorship rules. Rule changes take effect immediately for all subsequent retrievals — no batch recompute.</w:t>
      </w:r>
    </w:p>
    <w:p>
      <w:pPr>
        <w:spacing w:before="200" w:after="80"/>
      </w:pPr>
      <w:r>
        <w:rPr>
          <w:rFonts w:ascii="Arial" w:hAnsi="Arial"/>
          <w:b/>
          <w:color w:val="1E1B4B"/>
          <w:sz w:val="22"/>
        </w:rPr>
        <w:t>VIII.B. The Six Rule Types</w:t>
      </w:r>
    </w:p>
    <w:p>
      <w:pPr>
        <w:spacing w:before="40" w:after="80"/>
        <w:jc w:val="both"/>
      </w:pPr>
      <w:r>
        <w:rPr>
          <w:rFonts w:ascii="Times New Roman" w:hAnsi="Times New Roman"/>
          <w:b w:val="0"/>
          <w:i w:val="0"/>
          <w:sz w:val="24"/>
        </w:rPr>
        <w:t>`SurvivorshipEngine.buildGoldenRecord()` applies one of six strategies per attribute:</w:t>
      </w:r>
    </w:p>
    <w:p>
      <w:pPr>
        <w:pStyle w:val="ListNumber"/>
        <w:spacing w:before="20" w:after="20"/>
      </w:pPr>
      <w:r>
        <w:rPr>
          <w:rFonts w:ascii="Times New Roman" w:hAnsi="Times New Roman"/>
          <w:sz w:val="24"/>
        </w:rPr>
        <w:t>SOURCE_PRIORITY: The attribute value from the highest-ranked available source system wins.</w:t>
      </w:r>
    </w:p>
    <w:p>
      <w:pPr>
        <w:pStyle w:val="ListNumber"/>
        <w:spacing w:before="20" w:after="20"/>
      </w:pPr>
      <w:r>
        <w:rPr>
          <w:rFonts w:ascii="Times New Roman" w:hAnsi="Times New Roman"/>
          <w:sz w:val="24"/>
        </w:rPr>
        <w:t>MOST_RECENT: The attribute value with the most recent `sourceLastUpdated` timestamp wins.</w:t>
      </w:r>
    </w:p>
    <w:p>
      <w:pPr>
        <w:pStyle w:val="ListNumber"/>
        <w:spacing w:before="20" w:after="20"/>
      </w:pPr>
      <w:r>
        <w:rPr>
          <w:rFonts w:ascii="Times New Roman" w:hAnsi="Times New Roman"/>
          <w:sz w:val="24"/>
        </w:rPr>
        <w:t>MOST_FREQUENT: Majority vote across source records — the value that appears most often wins.</w:t>
      </w:r>
    </w:p>
    <w:p>
      <w:pPr>
        <w:pStyle w:val="ListNumber"/>
        <w:spacing w:before="20" w:after="20"/>
      </w:pPr>
      <w:r>
        <w:rPr>
          <w:rFonts w:ascii="Times New Roman" w:hAnsi="Times New Roman"/>
          <w:sz w:val="24"/>
        </w:rPr>
        <w:t>SUPREMACY: A designated source system always wins, regardless of recency or frequency.</w:t>
      </w:r>
    </w:p>
    <w:p>
      <w:pPr>
        <w:pStyle w:val="ListNumber"/>
        <w:spacing w:before="20" w:after="20"/>
      </w:pPr>
      <w:r>
        <w:rPr>
          <w:rFonts w:ascii="Times New Roman" w:hAnsi="Times New Roman"/>
          <w:sz w:val="24"/>
        </w:rPr>
        <w:t>NON_NULL: The first non-null value from sources in priority order wins.</w:t>
      </w:r>
    </w:p>
    <w:p>
      <w:pPr>
        <w:pStyle w:val="ListNumber"/>
        <w:spacing w:before="20" w:after="20"/>
      </w:pPr>
      <w:r>
        <w:rPr>
          <w:rFonts w:ascii="Times New Roman" w:hAnsi="Times New Roman"/>
          <w:sz w:val="24"/>
        </w:rPr>
        <w:t>LONGEST: The longest string value wins — useful for address fields where more detail is generally better.</w:t>
      </w:r>
    </w:p>
    <w:p>
      <w:pPr>
        <w:spacing w:before="200" w:after="80"/>
      </w:pPr>
      <w:r>
        <w:rPr>
          <w:rFonts w:ascii="Arial" w:hAnsi="Arial"/>
          <w:b/>
          <w:color w:val="1E1B4B"/>
          <w:sz w:val="22"/>
        </w:rPr>
        <w:t>VIII.C. View-Scoped Golden Records</w:t>
      </w:r>
    </w:p>
    <w:p>
      <w:pPr>
        <w:spacing w:before="40" w:after="80"/>
        <w:jc w:val="both"/>
      </w:pPr>
      <w:r>
        <w:rPr>
          <w:rFonts w:ascii="Times New Roman" w:hAnsi="Times New Roman"/>
          <w:b w:val="0"/>
          <w:i w:val="0"/>
          <w:sz w:val="24"/>
        </w:rPr>
        <w:t>When a `viewId` is supplied, `GoldenRecordService.getGoldenRecordForView()` loads survivorship rules filtered to that view. Different business consumers — risk, compliance, marketing, operations — can have different rule configurations applied to the same underlying source data. A risk team might want the most conservative (most recent) address. A marketing team might want the longest address. Both get their own golden view from the same source records.</w:t>
      </w:r>
    </w:p>
    <w:p>
      <w:pPr>
        <w:spacing w:before="80" w:after="80"/>
        <w:pBdr>
          <w:bottom w:val="single" w:sz="6" w:space="1" w:color="6B7280"/>
        </w:pBdr>
      </w:pPr>
    </w:p>
    <w:p>
      <w:pPr>
        <w:pStyle w:val="Heading3"/>
      </w:pPr>
      <w:r>
        <w:t>IX. HUMAN-IN-THE-LOOP ML RETRAINING</w:t>
      </w:r>
    </w:p>
    <w:p>
      <w:pPr>
        <w:spacing w:before="200" w:after="80"/>
      </w:pPr>
      <w:r>
        <w:rPr>
          <w:rFonts w:ascii="Arial" w:hAnsi="Arial"/>
          <w:b/>
          <w:color w:val="1E1B4B"/>
          <w:sz w:val="22"/>
        </w:rPr>
        <w:t>IX.A. Feature Capture at Decision Time</w:t>
      </w:r>
    </w:p>
    <w:p>
      <w:pPr>
        <w:spacing w:before="40" w:after="80"/>
        <w:jc w:val="both"/>
      </w:pPr>
      <w:r>
        <w:rPr>
          <w:rFonts w:ascii="Times New Roman" w:hAnsi="Times New Roman"/>
          <w:b w:val="0"/>
          <w:i w:val="0"/>
          <w:sz w:val="24"/>
        </w:rPr>
        <w:t>This is a subtle but important point. When a steward reviews a record pair and decides whether they match, that decision is based on the attributes as they exist at that moment. If you wait until later to extract features for training — say, you re-query the database at training time — the records may have changed. You'd be training on features that don't match what the steward actually saw.</w:t>
      </w:r>
    </w:p>
    <w:p>
      <w:pPr>
        <w:spacing w:before="40" w:after="80"/>
        <w:jc w:val="both"/>
      </w:pPr>
      <w:r>
        <w:rPr>
          <w:rFonts w:ascii="Times New Roman" w:hAnsi="Times New Roman"/>
          <w:b w:val="0"/>
          <w:i w:val="0"/>
          <w:sz w:val="24"/>
        </w:rPr>
        <w:t>`MLMatchingService.captureDecision()` extracts and persists the feature vector at the exact moment the steward submits their decision:</w:t>
      </w:r>
    </w:p>
    <w:tbl>
      <w:tblPr>
        <w:tblStyle w:val="TableGrid"/>
        <w:tblW w:type="auto" w:w="0"/>
        <w:tblLook w:firstColumn="1" w:firstRow="1" w:lastColumn="0" w:lastRow="0" w:noHBand="0" w:noVBand="1" w:val="04A0"/>
      </w:tblPr>
      <w:tblGrid>
        <w:gridCol w:w="8640"/>
      </w:tblGrid>
      <w:tr>
        <w:tc>
          <w:tcPr>
            <w:tcW w:type="dxa" w:w="8640"/>
            <w:shd w:val="clear" w:color="auto" w:fill="F3F4F6"/>
          </w:tcPr>
          <w:p>
            <w:pPr>
              <w:spacing w:before="80" w:after="80"/>
            </w:pPr>
            <w:r>
              <w:rPr>
                <w:rFonts w:ascii="Courier New" w:hAnsi="Courier New"/>
                <w:sz w:val="18"/>
              </w:rPr>
              <w:t>nameSimilarity, dobExactMatch, taxIdExactMatch, emailMatch, phoneMatch,</w:t>
              <w:br/>
              <w:t>addressSimilarity, dunsMatch, leiMatch, nationalIdMatch,</w:t>
              <w:br/>
              <w:t>sourceSystemDiversity, partyTypeMatch</w:t>
            </w:r>
          </w:p>
        </w:tc>
      </w:tr>
    </w:tbl>
    <w:p/>
    <w:p>
      <w:pPr>
        <w:spacing w:before="40" w:after="80"/>
        <w:jc w:val="both"/>
      </w:pPr>
      <w:r>
        <w:rPr>
          <w:rFonts w:ascii="Times New Roman" w:hAnsi="Times New Roman"/>
          <w:b w:val="0"/>
          <w:i w:val="0"/>
          <w:sz w:val="24"/>
        </w:rPr>
        <w:t>These are stored as an immutable `MatchingFeedback` document with the steward's label (MATCH or NO_MATCH). They never change after that point, regardless of what happens to the party records later.</w:t>
      </w:r>
    </w:p>
    <w:p>
      <w:pPr>
        <w:spacing w:before="40" w:after="80"/>
        <w:jc w:val="both"/>
      </w:pPr>
      <w:r>
        <w:rPr>
          <w:rFonts w:ascii="Times New Roman" w:hAnsi="Times New Roman"/>
          <w:sz w:val="24"/>
        </w:rPr>
        <w:t xml:space="preserve">This design enables </w:t>
      </w:r>
      <w:r>
        <w:rPr>
          <w:rFonts w:ascii="Times New Roman" w:hAnsi="Times New Roman"/>
          <w:b/>
          <w:sz w:val="24"/>
        </w:rPr>
        <w:t>replay-free retraining</w:t>
      </w:r>
      <w:r>
        <w:rPr>
          <w:rFonts w:ascii="Times New Roman" w:hAnsi="Times New Roman"/>
          <w:sz w:val="24"/>
        </w:rPr>
        <w:t xml:space="preserve"> — the training set is fully self-contained in the feedback documents. You don't need the original party states to retrain.</w:t>
      </w:r>
    </w:p>
    <w:p>
      <w:pPr>
        <w:spacing w:before="200" w:after="80"/>
      </w:pPr>
      <w:r>
        <w:rPr>
          <w:rFonts w:ascii="Arial" w:hAnsi="Arial"/>
          <w:b/>
          <w:color w:val="1E1B4B"/>
          <w:sz w:val="22"/>
        </w:rPr>
        <w:t>IX.B. Automatic Retraining</w:t>
      </w:r>
    </w:p>
    <w:p>
      <w:pPr>
        <w:spacing w:before="40" w:after="80"/>
        <w:jc w:val="both"/>
      </w:pPr>
      <w:r>
        <w:rPr>
          <w:rFonts w:ascii="Times New Roman" w:hAnsi="Times New Roman"/>
          <w:b w:val="0"/>
          <w:i w:val="0"/>
          <w:sz w:val="24"/>
        </w:rPr>
        <w:t>After each feedback save:</w:t>
      </w:r>
    </w:p>
    <w:tbl>
      <w:tblPr>
        <w:tblStyle w:val="TableGrid"/>
        <w:tblW w:type="auto" w:w="0"/>
        <w:tblLook w:firstColumn="1" w:firstRow="1" w:lastColumn="0" w:lastRow="0" w:noHBand="0" w:noVBand="1" w:val="04A0"/>
      </w:tblPr>
      <w:tblGrid>
        <w:gridCol w:w="8640"/>
      </w:tblGrid>
      <w:tr>
        <w:tc>
          <w:tcPr>
            <w:tcW w:type="dxa" w:w="8640"/>
            <w:shd w:val="clear" w:color="auto" w:fill="F3F4F6"/>
          </w:tcPr>
          <w:p>
            <w:pPr>
              <w:spacing w:before="80" w:after="80"/>
            </w:pPr>
            <w:r>
              <w:rPr>
                <w:rFonts w:ascii="Courier New" w:hAnsi="Courier New"/>
                <w:sz w:val="18"/>
              </w:rPr>
              <w:t>if (feedbackCount &gt;= MIN_EXAMPLES &amp;&amp; feedbackCount % RETRAIN_EVERY == 0) {</w:t>
              <w:br/>
              <w:t xml:space="preserve">    retrainModel(entityType);</w:t>
              <w:br/>
              <w:t>}</w:t>
            </w:r>
          </w:p>
        </w:tc>
      </w:tr>
    </w:tbl>
    <w:p/>
    <w:p>
      <w:pPr>
        <w:spacing w:before="40" w:after="80"/>
        <w:jc w:val="both"/>
      </w:pPr>
      <w:r>
        <w:rPr>
          <w:rFonts w:ascii="Times New Roman" w:hAnsi="Times New Roman"/>
          <w:b w:val="0"/>
          <w:i w:val="0"/>
          <w:sz w:val="24"/>
        </w:rPr>
        <w:t>With `MIN_EXAMPLES = 5` and `RETRAIN_EVERY = 5`, the model retrains every 5 labeled examples once the minimum threshold is met.</w:t>
      </w:r>
    </w:p>
    <w:p>
      <w:pPr>
        <w:spacing w:before="200" w:after="80"/>
      </w:pPr>
      <w:r>
        <w:rPr>
          <w:rFonts w:ascii="Arial" w:hAnsi="Arial"/>
          <w:b/>
          <w:color w:val="1E1B4B"/>
          <w:sz w:val="22"/>
        </w:rPr>
        <w:t>IX.C. Logistic Regression Implementation</w:t>
      </w:r>
    </w:p>
    <w:p>
      <w:pPr>
        <w:spacing w:before="40" w:after="80"/>
        <w:jc w:val="both"/>
      </w:pPr>
      <w:r>
        <w:rPr>
          <w:rFonts w:ascii="Times New Roman" w:hAnsi="Times New Roman"/>
          <w:b w:val="0"/>
          <w:i w:val="0"/>
          <w:sz w:val="24"/>
        </w:rPr>
        <w:t>The retrain uses a straightforward logistic regression with gradient descent:</w:t>
      </w:r>
    </w:p>
    <w:p>
      <w:pPr>
        <w:pStyle w:val="ListBullet"/>
        <w:spacing w:before="20" w:after="20"/>
      </w:pPr>
      <w:r>
        <w:rPr>
          <w:rFonts w:ascii="Times New Roman" w:hAnsi="Times New Roman"/>
          <w:sz w:val="24"/>
        </w:rPr>
        <w:t>Feature matrix X ∈ ℝ^(n×d), d = 11 features</w:t>
      </w:r>
    </w:p>
    <w:p>
      <w:pPr>
        <w:pStyle w:val="ListBullet"/>
        <w:spacing w:before="20" w:after="20"/>
      </w:pPr>
      <w:r>
        <w:rPr>
          <w:rFonts w:ascii="Times New Roman" w:hAnsi="Times New Roman"/>
          <w:sz w:val="24"/>
        </w:rPr>
        <w:t>Up to 500 gradient descent iterations</w:t>
      </w:r>
    </w:p>
    <w:p>
      <w:pPr>
        <w:pStyle w:val="ListBullet"/>
        <w:spacing w:before="20" w:after="20"/>
      </w:pPr>
      <w:r>
        <w:rPr>
          <w:rFonts w:ascii="Times New Roman" w:hAnsi="Times New Roman"/>
          <w:sz w:val="24"/>
        </w:rPr>
        <w:t>Learning rate η = 0.1</w:t>
      </w:r>
    </w:p>
    <w:p>
      <w:pPr>
        <w:pStyle w:val="ListBullet"/>
        <w:spacing w:before="20" w:after="20"/>
      </w:pPr>
      <w:r>
        <w:rPr>
          <w:rFonts w:ascii="Times New Roman" w:hAnsi="Times New Roman"/>
          <w:sz w:val="24"/>
        </w:rPr>
        <w:t>L2 regularization λ = 0.01 on feature weights (not bias)</w:t>
      </w:r>
    </w:p>
    <w:p>
      <w:pPr>
        <w:pStyle w:val="ListBullet"/>
        <w:spacing w:before="20" w:after="20"/>
      </w:pPr>
      <w:r>
        <w:rPr>
          <w:rFonts w:ascii="Times New Roman" w:hAnsi="Times New Roman"/>
          <w:sz w:val="24"/>
        </w:rPr>
        <w:t>Convergence test on loss change</w:t>
      </w:r>
    </w:p>
    <w:p>
      <w:pPr>
        <w:spacing w:before="40" w:after="80"/>
        <w:jc w:val="both"/>
      </w:pPr>
      <w:r>
        <w:rPr>
          <w:rFonts w:ascii="Times New Roman" w:hAnsi="Times New Roman"/>
          <w:b w:val="0"/>
          <w:i w:val="0"/>
          <w:sz w:val="24"/>
        </w:rPr>
        <w:t>After training: accuracy, precision, recall, F1, and per-feature importance (|w_i| / Σ|w_j|) are computed and stored with the model.</w:t>
      </w:r>
    </w:p>
    <w:p>
      <w:pPr>
        <w:spacing w:before="80" w:after="80"/>
        <w:pBdr>
          <w:bottom w:val="single" w:sz="6" w:space="1" w:color="6B7280"/>
        </w:pBdr>
      </w:pPr>
    </w:p>
    <w:p>
      <w:pPr>
        <w:pStyle w:val="Heading3"/>
      </w:pPr>
      <w:r>
        <w:t>X. NAME NORMALIZATION</w:t>
      </w:r>
    </w:p>
    <w:p>
      <w:pPr>
        <w:spacing w:before="200" w:after="80"/>
      </w:pPr>
      <w:r>
        <w:rPr>
          <w:rFonts w:ascii="Arial" w:hAnsi="Arial"/>
          <w:b/>
          <w:color w:val="1E1B4B"/>
          <w:sz w:val="22"/>
        </w:rPr>
        <w:t>X.A. Organization Name Normalization</w:t>
      </w:r>
    </w:p>
    <w:p>
      <w:pPr>
        <w:spacing w:before="40" w:after="80"/>
        <w:jc w:val="both"/>
      </w:pPr>
      <w:r>
        <w:rPr>
          <w:rFonts w:ascii="Times New Roman" w:hAnsi="Times New Roman"/>
          <w:b w:val="0"/>
          <w:i w:val="0"/>
          <w:sz w:val="24"/>
        </w:rPr>
        <w:t>`NameNormalizerService.normaliseOrg()` strips legal suffixes before blocking key generation: `"IBM Corporation, Inc."` → `"ibm"`. It handles 30+ suffixes in multiple languages using longest-match-first to avoid partial matches (preventing "Corp" from matching before "Corporation" in the same string).</w:t>
      </w:r>
    </w:p>
    <w:p>
      <w:pPr>
        <w:spacing w:before="40" w:after="80"/>
        <w:jc w:val="both"/>
      </w:pPr>
      <w:r>
        <w:rPr>
          <w:rFonts w:ascii="Times New Roman" w:hAnsi="Times New Roman"/>
          <w:b w:val="0"/>
          <w:i w:val="0"/>
          <w:sz w:val="24"/>
        </w:rPr>
        <w:t>Without this, "IBM Corp" and "IBM Corporation" would produce different blocking keys and never be compared. With it, they both reduce to "ibm" and share all phonetic blocking keys.</w:t>
      </w:r>
    </w:p>
    <w:p>
      <w:pPr>
        <w:spacing w:before="200" w:after="80"/>
      </w:pPr>
      <w:r>
        <w:rPr>
          <w:rFonts w:ascii="Arial" w:hAnsi="Arial"/>
          <w:b/>
          <w:color w:val="1E1B4B"/>
          <w:sz w:val="22"/>
        </w:rPr>
        <w:t>X.B. Nickname Equivalence</w:t>
      </w:r>
    </w:p>
    <w:p>
      <w:pPr>
        <w:spacing w:before="40" w:after="80"/>
        <w:jc w:val="both"/>
      </w:pPr>
      <w:r>
        <w:rPr>
          <w:rFonts w:ascii="Times New Roman" w:hAnsi="Times New Roman"/>
          <w:b w:val="0"/>
          <w:i w:val="0"/>
          <w:sz w:val="24"/>
        </w:rPr>
        <w:t>`NicknameService` maintains 90+ equivalence groups for common English given names with international variants. "Bob", "Robert", "Rob", "Bobby", "Robby", and "Roberto" are all members of the same group. Methods:</w:t>
      </w:r>
    </w:p>
    <w:p>
      <w:pPr>
        <w:pStyle w:val="ListBullet"/>
        <w:spacing w:before="20" w:after="20"/>
      </w:pPr>
      <w:r>
        <w:rPr>
          <w:rFonts w:ascii="Times New Roman" w:hAnsi="Times New Roman"/>
          <w:sz w:val="24"/>
        </w:rPr>
        <w:t>`variants(firstName)` — returns all equivalent forms</w:t>
      </w:r>
    </w:p>
    <w:p>
      <w:pPr>
        <w:pStyle w:val="ListBullet"/>
        <w:spacing w:before="20" w:after="20"/>
      </w:pPr>
      <w:r>
        <w:rPr>
          <w:rFonts w:ascii="Times New Roman" w:hAnsi="Times New Roman"/>
          <w:sz w:val="24"/>
        </w:rPr>
        <w:t>`areEquivalent(a, b)` — boolean equivalence check</w:t>
      </w:r>
    </w:p>
    <w:p>
      <w:pPr>
        <w:pStyle w:val="ListBullet"/>
        <w:spacing w:before="20" w:after="20"/>
      </w:pPr>
      <w:r>
        <w:rPr>
          <w:rFonts w:ascii="Times New Roman" w:hAnsi="Times New Roman"/>
          <w:sz w:val="24"/>
        </w:rPr>
        <w:t>`similarity(a, b)` — returns 1.0 for equivalents, 0.0 otherwise</w:t>
      </w:r>
    </w:p>
    <w:p>
      <w:pPr>
        <w:spacing w:before="80" w:after="80"/>
        <w:pBdr>
          <w:bottom w:val="single" w:sz="6" w:space="1" w:color="6B7280"/>
        </w:pBdr>
      </w:pPr>
    </w:p>
    <w:p>
      <w:pPr>
        <w:pStyle w:val="Heading3"/>
      </w:pPr>
      <w:r>
        <w:t>XI. IN-APPLICATION TEST LABORATORY</w:t>
      </w:r>
    </w:p>
    <w:p>
      <w:pPr>
        <w:spacing w:before="40" w:after="80"/>
        <w:jc w:val="both"/>
      </w:pPr>
      <w:r>
        <w:rPr>
          <w:rFonts w:ascii="Times New Roman" w:hAnsi="Times New Roman"/>
          <w:b w:val="0"/>
          <w:i w:val="0"/>
          <w:sz w:val="24"/>
        </w:rPr>
        <w:t>The platform includes a test framework (`com.averio.mdm.testing`) that runs against the live application infrastructure. This matters because tests against mocked databases frequently pass while production bugs persist — the mock is not the database.</w:t>
      </w:r>
    </w:p>
    <w:p>
      <w:pPr>
        <w:spacing w:before="40" w:after="80"/>
        <w:jc w:val="both"/>
      </w:pPr>
      <w:r>
        <w:rPr>
          <w:rFonts w:ascii="Times New Roman" w:hAnsi="Times New Roman"/>
          <w:b w:val="0"/>
          <w:i w:val="0"/>
          <w:sz w:val="24"/>
        </w:rPr>
        <w:t>Seven suites:</w:t>
      </w:r>
    </w:p>
    <w:p>
      <w:pPr>
        <w:pStyle w:val="ListNumber"/>
        <w:spacing w:before="20" w:after="20"/>
      </w:pPr>
      <w:r>
        <w:rPr>
          <w:rFonts w:ascii="Times New Roman" w:hAnsi="Times New Roman"/>
          <w:sz w:val="24"/>
        </w:rPr>
        <w:t>API_HEALTH — connectivity checks across all services and data stores</w:t>
      </w:r>
    </w:p>
    <w:p>
      <w:pPr>
        <w:pStyle w:val="ListNumber"/>
        <w:spacing w:before="20" w:after="20"/>
      </w:pPr>
      <w:r>
        <w:rPr>
          <w:rFonts w:ascii="Times New Roman" w:hAnsi="Times New Roman"/>
          <w:sz w:val="24"/>
        </w:rPr>
        <w:t>MATCHING — matching algorithm correctness tests (in-memory, no DB I/O)</w:t>
      </w:r>
    </w:p>
    <w:p>
      <w:pPr>
        <w:pStyle w:val="ListNumber"/>
        <w:spacing w:before="20" w:after="20"/>
      </w:pPr>
      <w:r>
        <w:rPr>
          <w:rFonts w:ascii="Times New Roman" w:hAnsi="Times New Roman"/>
          <w:sz w:val="24"/>
        </w:rPr>
        <w:t>BLOCKING — blocking key generation and index operation tests (in-memory)</w:t>
      </w:r>
    </w:p>
    <w:p>
      <w:pPr>
        <w:pStyle w:val="ListNumber"/>
        <w:spacing w:before="20" w:after="20"/>
      </w:pPr>
      <w:r>
        <w:rPr>
          <w:rFonts w:ascii="Times New Roman" w:hAnsi="Times New Roman"/>
          <w:sz w:val="24"/>
        </w:rPr>
        <w:t>SURVIVORSHIP — rule application correctness tests</w:t>
      </w:r>
    </w:p>
    <w:p>
      <w:pPr>
        <w:pStyle w:val="ListNumber"/>
        <w:spacing w:before="20" w:after="20"/>
      </w:pPr>
      <w:r>
        <w:rPr>
          <w:rFonts w:ascii="Times New Roman" w:hAnsi="Times New Roman"/>
          <w:sz w:val="24"/>
        </w:rPr>
        <w:t>GOLDEN_RECORD — golden record service tests with actual Cosmos DB writes</w:t>
      </w:r>
    </w:p>
    <w:p>
      <w:pPr>
        <w:pStyle w:val="ListNumber"/>
        <w:spacing w:before="20" w:after="20"/>
      </w:pPr>
      <w:r>
        <w:rPr>
          <w:rFonts w:ascii="Times New Roman" w:hAnsi="Times New Roman"/>
          <w:sz w:val="24"/>
        </w:rPr>
        <w:t>TIMELINE — event persistence and ordering tests with per-test cleanup</w:t>
      </w:r>
    </w:p>
    <w:p>
      <w:pPr>
        <w:pStyle w:val="ListNumber"/>
        <w:spacing w:before="20" w:after="20"/>
      </w:pPr>
      <w:r>
        <w:rPr>
          <w:rFonts w:ascii="Times New Roman" w:hAnsi="Times New Roman"/>
          <w:sz w:val="24"/>
        </w:rPr>
        <w:t>REGRESSION — end-to-end ingest scenarios with Neo4j + Cosmos DB and automatic test data cleanup</w:t>
      </w:r>
    </w:p>
    <w:p>
      <w:pPr>
        <w:spacing w:before="40" w:after="80"/>
        <w:jc w:val="both"/>
      </w:pPr>
      <w:r>
        <w:rPr>
          <w:rFonts w:ascii="Times New Roman" w:hAnsi="Times New Roman"/>
          <w:b w:val="0"/>
          <w:i w:val="0"/>
          <w:sz w:val="24"/>
        </w:rPr>
        <w:t>Test records are isolated via `sourceSystem = "TEST_LAB"` and `sourceSystemId = "TEST-{runId}-{seq}"` markers. Dependencies use `@Autowired(required=false)` with null-guard `SKIPPED` status for unavailable services.</w:t>
      </w:r>
    </w:p>
    <w:p>
      <w:pPr>
        <w:spacing w:before="80" w:after="80"/>
        <w:pBdr>
          <w:bottom w:val="single" w:sz="6" w:space="1" w:color="6B7280"/>
        </w:pBdr>
      </w:pPr>
    </w:p>
    <w:p>
      <w:pPr>
        <w:pStyle w:val="Heading2"/>
      </w:pPr>
      <w:r>
        <w:t>CLAIMS</w:t>
      </w:r>
    </w:p>
    <w:p>
      <w:pPr>
        <w:spacing w:before="40" w:after="80"/>
        <w:jc w:val="both"/>
      </w:pPr>
      <w:r>
        <w:rPr>
          <w:rFonts w:ascii="Times New Roman" w:hAnsi="Times New Roman"/>
          <w:b w:val="0"/>
          <w:i w:val="0"/>
          <w:sz w:val="24"/>
        </w:rPr>
        <w:t>The following claims are submitted for the provisional record. These will be formalized for the non-provisional application.</w:t>
      </w:r>
    </w:p>
    <w:p>
      <w:pPr>
        <w:spacing w:before="40" w:after="80"/>
        <w:jc w:val="both"/>
      </w:pPr>
      <w:r>
        <w:rPr>
          <w:rFonts w:ascii="Times New Roman" w:hAnsi="Times New Roman"/>
          <w:b/>
          <w:sz w:val="24"/>
        </w:rPr>
        <w:t>Claim 1.</w:t>
      </w:r>
      <w:r>
        <w:rPr>
          <w:rFonts w:ascii="Times New Roman" w:hAnsi="Times New Roman"/>
          <w:sz w:val="24"/>
        </w:rPr>
        <w:t xml:space="preserve"> A computer-implemented method for entity resolution comprising:</w:t>
      </w:r>
    </w:p>
    <w:p>
      <w:pPr>
        <w:pStyle w:val="ListBullet"/>
        <w:spacing w:before="20" w:after="20"/>
      </w:pPr>
      <w:r>
        <w:rPr>
          <w:rFonts w:ascii="Times New Roman" w:hAnsi="Times New Roman"/>
          <w:sz w:val="24"/>
        </w:rPr>
        <w:t>generating, from a party record, blocking keys using nine independent strategies applied in union, the strategies including phonetic name encoding, nickname variant phonetic encoding, date-of-birth hashing, tax identifier prefix, phone suffix, email domain plus initial, postal code plus phonetic, collapsed name phonetic, and exact high-cardinality identifier matching;</w:t>
      </w:r>
    </w:p>
    <w:p>
      <w:pPr>
        <w:pStyle w:val="ListBullet"/>
        <w:spacing w:before="20" w:after="20"/>
      </w:pPr>
      <w:r>
        <w:rPr>
          <w:rFonts w:ascii="Times New Roman" w:hAnsi="Times New Roman"/>
          <w:sz w:val="24"/>
        </w:rPr>
        <w:t>retrieving candidate records sharing at least one blocking key;</w:t>
      </w:r>
    </w:p>
    <w:p>
      <w:pPr>
        <w:pStyle w:val="ListBullet"/>
        <w:spacing w:before="20" w:after="20"/>
      </w:pPr>
      <w:r>
        <w:rPr>
          <w:rFonts w:ascii="Times New Roman" w:hAnsi="Times New Roman"/>
          <w:sz w:val="24"/>
        </w:rPr>
        <w:t>scoring candidates using Fellegi-Sunter parameters that are autonomously estimated by an Expectation-Maximization algorithm without labeled training data;</w:t>
      </w:r>
    </w:p>
    <w:p>
      <w:pPr>
        <w:pStyle w:val="ListBullet"/>
        <w:spacing w:before="20" w:after="20"/>
      </w:pPr>
      <w:r>
        <w:rPr>
          <w:rFonts w:ascii="Times New Roman" w:hAnsi="Times New Roman"/>
          <w:sz w:val="24"/>
        </w:rPr>
        <w:t>routing the top match to auto-link, steward review, or new entity creation based on configurable score thresholds; and</w:t>
      </w:r>
    </w:p>
    <w:p>
      <w:pPr>
        <w:pStyle w:val="ListBullet"/>
        <w:spacing w:before="20" w:after="20"/>
      </w:pPr>
      <w:r>
        <w:rPr>
          <w:rFonts w:ascii="Times New Roman" w:hAnsi="Times New Roman"/>
          <w:sz w:val="24"/>
        </w:rPr>
        <w:t>when routing to steward review, assigning a provisional globally unique golden identifier to the incoming record before committing any database transaction.</w:t>
      </w:r>
    </w:p>
    <w:p>
      <w:pPr>
        <w:spacing w:before="40" w:after="80"/>
        <w:jc w:val="both"/>
      </w:pPr>
      <w:r>
        <w:rPr>
          <w:rFonts w:ascii="Times New Roman" w:hAnsi="Times New Roman"/>
          <w:b/>
          <w:sz w:val="24"/>
        </w:rPr>
        <w:t>Claim 2.</w:t>
      </w:r>
      <w:r>
        <w:rPr>
          <w:rFonts w:ascii="Times New Roman" w:hAnsi="Times New Roman"/>
          <w:sz w:val="24"/>
        </w:rPr>
        <w:t xml:space="preserve"> A computer-implemented method for cluster drift detection comprising:</w:t>
      </w:r>
    </w:p>
    <w:p>
      <w:pPr>
        <w:pStyle w:val="ListBullet"/>
        <w:spacing w:before="20" w:after="20"/>
      </w:pPr>
      <w:r>
        <w:rPr>
          <w:rFonts w:ascii="Times New Roman" w:hAnsi="Times New Roman"/>
          <w:sz w:val="24"/>
        </w:rPr>
        <w:t>upon update of a party record, scoring the updated record against all sibling records in its current cluster;</w:t>
      </w:r>
    </w:p>
    <w:p>
      <w:pPr>
        <w:pStyle w:val="ListBullet"/>
        <w:spacing w:before="20" w:after="20"/>
      </w:pPr>
      <w:r>
        <w:rPr>
          <w:rFonts w:ascii="Times New Roman" w:hAnsi="Times New Roman"/>
          <w:sz w:val="24"/>
        </w:rPr>
        <w:t>when the best intra-cluster score falls below a threshold, determining drift and executing a full cross-cluster candidate search;</w:t>
      </w:r>
    </w:p>
    <w:p>
      <w:pPr>
        <w:pStyle w:val="ListBullet"/>
        <w:spacing w:before="20" w:after="20"/>
      </w:pPr>
      <w:r>
        <w:rPr>
          <w:rFonts w:ascii="Times New Roman" w:hAnsi="Times New Roman"/>
          <w:sz w:val="24"/>
        </w:rPr>
        <w:t>automatically reassigning, escalating, or detaching the record based on the external search results; and</w:t>
      </w:r>
    </w:p>
    <w:p>
      <w:pPr>
        <w:pStyle w:val="ListBullet"/>
        <w:spacing w:before="20" w:after="20"/>
      </w:pPr>
      <w:r>
        <w:rPr>
          <w:rFonts w:ascii="Times New Roman" w:hAnsi="Times New Roman"/>
          <w:sz w:val="24"/>
        </w:rPr>
        <w:t>recording all membership changes as immutable timeline events indexed by golden record identifier.</w:t>
      </w:r>
    </w:p>
    <w:p>
      <w:pPr>
        <w:spacing w:before="40" w:after="80"/>
        <w:jc w:val="both"/>
      </w:pPr>
      <w:r>
        <w:rPr>
          <w:rFonts w:ascii="Times New Roman" w:hAnsi="Times New Roman"/>
          <w:b/>
          <w:sz w:val="24"/>
        </w:rPr>
        <w:t>Claim 3.</w:t>
      </w:r>
      <w:r>
        <w:rPr>
          <w:rFonts w:ascii="Times New Roman" w:hAnsi="Times New Roman"/>
          <w:sz w:val="24"/>
        </w:rPr>
        <w:t xml:space="preserve"> A system for autonomous Fellegi-Sunter parameter estimation comprising:</w:t>
      </w:r>
    </w:p>
    <w:p>
      <w:pPr>
        <w:pStyle w:val="ListBullet"/>
        <w:spacing w:before="20" w:after="20"/>
      </w:pPr>
      <w:r>
        <w:rPr>
          <w:rFonts w:ascii="Times New Roman" w:hAnsi="Times New Roman"/>
          <w:sz w:val="24"/>
        </w:rPr>
        <w:t>an Expectation-Maximization algorithm that estimates m-probabilities and u-probabilities from unlabeled record pairs;</w:t>
      </w:r>
    </w:p>
    <w:p>
      <w:pPr>
        <w:pStyle w:val="ListBullet"/>
        <w:spacing w:before="20" w:after="20"/>
      </w:pPr>
      <w:r>
        <w:rPr>
          <w:rFonts w:ascii="Times New Roman" w:hAnsi="Times New Roman"/>
          <w:sz w:val="24"/>
        </w:rPr>
        <w:t>a scheduled trigger for recurring re-estimation;</w:t>
      </w:r>
    </w:p>
    <w:p>
      <w:pPr>
        <w:pStyle w:val="ListBullet"/>
        <w:spacing w:before="20" w:after="20"/>
      </w:pPr>
      <w:r>
        <w:rPr>
          <w:rFonts w:ascii="Times New Roman" w:hAnsi="Times New Roman"/>
          <w:sz w:val="24"/>
        </w:rPr>
        <w:t>a sanity validation guard that reverts to prior values on aberrant results; and</w:t>
      </w:r>
    </w:p>
    <w:p>
      <w:pPr>
        <w:pStyle w:val="ListBullet"/>
        <w:spacing w:before="20" w:after="20"/>
      </w:pPr>
      <w:r>
        <w:rPr>
          <w:rFonts w:ascii="Times New Roman" w:hAnsi="Times New Roman"/>
          <w:sz w:val="24"/>
        </w:rPr>
        <w:t>a per-party-type parameter store with estimation timestamps.</w:t>
      </w:r>
    </w:p>
    <w:p>
      <w:pPr>
        <w:spacing w:before="40" w:after="80"/>
        <w:jc w:val="both"/>
      </w:pPr>
      <w:r>
        <w:rPr>
          <w:rFonts w:ascii="Times New Roman" w:hAnsi="Times New Roman"/>
          <w:b/>
          <w:sz w:val="24"/>
        </w:rPr>
        <w:t>Claim 4.</w:t>
      </w:r>
      <w:r>
        <w:rPr>
          <w:rFonts w:ascii="Times New Roman" w:hAnsi="Times New Roman"/>
          <w:sz w:val="24"/>
        </w:rPr>
        <w:t xml:space="preserve"> A method for human-in-the-loop ML retraining comprising:</w:t>
      </w:r>
    </w:p>
    <w:p>
      <w:pPr>
        <w:pStyle w:val="ListBullet"/>
        <w:spacing w:before="20" w:after="20"/>
      </w:pPr>
      <w:r>
        <w:rPr>
          <w:rFonts w:ascii="Times New Roman" w:hAnsi="Times New Roman"/>
          <w:sz w:val="24"/>
        </w:rPr>
        <w:t>capturing feature vectors at the time of human review decisions, not at training time;</w:t>
      </w:r>
    </w:p>
    <w:p>
      <w:pPr>
        <w:pStyle w:val="ListBullet"/>
        <w:spacing w:before="20" w:after="20"/>
      </w:pPr>
      <w:r>
        <w:rPr>
          <w:rFonts w:ascii="Times New Roman" w:hAnsi="Times New Roman"/>
          <w:sz w:val="24"/>
        </w:rPr>
        <w:t>persisting feature vectors with human labels as immutable records;</w:t>
      </w:r>
    </w:p>
    <w:p>
      <w:pPr>
        <w:pStyle w:val="ListBullet"/>
        <w:spacing w:before="20" w:after="20"/>
      </w:pPr>
      <w:r>
        <w:rPr>
          <w:rFonts w:ascii="Times New Roman" w:hAnsi="Times New Roman"/>
          <w:sz w:val="24"/>
        </w:rPr>
        <w:t>automatically triggering logistic regression retraining upon accumulation of new labeled examples; and</w:t>
      </w:r>
    </w:p>
    <w:p>
      <w:pPr>
        <w:pStyle w:val="ListBullet"/>
        <w:spacing w:before="20" w:after="20"/>
      </w:pPr>
      <w:r>
        <w:rPr>
          <w:rFonts w:ascii="Times New Roman" w:hAnsi="Times New Roman"/>
          <w:sz w:val="24"/>
        </w:rPr>
        <w:t>computing and storing model performance metrics including precision, recall, and per-feature importance.</w:t>
      </w:r>
    </w:p>
    <w:p>
      <w:pPr>
        <w:spacing w:before="40" w:after="80"/>
        <w:jc w:val="both"/>
      </w:pPr>
      <w:r>
        <w:rPr>
          <w:rFonts w:ascii="Times New Roman" w:hAnsi="Times New Roman"/>
          <w:b/>
          <w:sz w:val="24"/>
        </w:rPr>
        <w:t>Claim 5.</w:t>
      </w:r>
      <w:r>
        <w:rPr>
          <w:rFonts w:ascii="Times New Roman" w:hAnsi="Times New Roman"/>
          <w:sz w:val="24"/>
        </w:rPr>
        <w:t xml:space="preserve"> A method for provisional golden identity assignment comprising:</w:t>
      </w:r>
    </w:p>
    <w:p>
      <w:pPr>
        <w:pStyle w:val="ListBullet"/>
        <w:spacing w:before="20" w:after="20"/>
      </w:pPr>
      <w:r>
        <w:rPr>
          <w:rFonts w:ascii="Times New Roman" w:hAnsi="Times New Roman"/>
          <w:sz w:val="24"/>
        </w:rPr>
        <w:t>assigning a globally unique golden identifier to every ingested record before any database transaction commits;</w:t>
      </w:r>
    </w:p>
    <w:p>
      <w:pPr>
        <w:pStyle w:val="ListBullet"/>
        <w:spacing w:before="20" w:after="20"/>
      </w:pPr>
      <w:r>
        <w:rPr>
          <w:rFonts w:ascii="Times New Roman" w:hAnsi="Times New Roman"/>
          <w:sz w:val="24"/>
        </w:rPr>
        <w:t>creating a complete golden record for provisional records;</w:t>
      </w:r>
    </w:p>
    <w:p>
      <w:pPr>
        <w:pStyle w:val="ListBullet"/>
        <w:spacing w:before="20" w:after="20"/>
      </w:pPr>
      <w:r>
        <w:rPr>
          <w:rFonts w:ascii="Times New Roman" w:hAnsi="Times New Roman"/>
          <w:sz w:val="24"/>
        </w:rPr>
        <w:t>making provisional records fully available to downstream systems during review; and</w:t>
      </w:r>
    </w:p>
    <w:p>
      <w:pPr>
        <w:pStyle w:val="ListBullet"/>
        <w:spacing w:before="20" w:after="20"/>
      </w:pPr>
      <w:r>
        <w:rPr>
          <w:rFonts w:ascii="Times New Roman" w:hAnsi="Times New Roman"/>
          <w:sz w:val="24"/>
        </w:rPr>
        <w:t>upon merge approval, migrating to the surviving cluster identifier; upon merge rejection, converting the provisional identifier to permanent without additional operations.</w:t>
      </w:r>
    </w:p>
    <w:p>
      <w:pPr>
        <w:spacing w:before="40" w:after="80"/>
        <w:jc w:val="both"/>
      </w:pPr>
      <w:r>
        <w:rPr>
          <w:rFonts w:ascii="Times New Roman" w:hAnsi="Times New Roman"/>
          <w:b/>
          <w:sz w:val="24"/>
        </w:rPr>
        <w:t>Claim 6.</w:t>
      </w:r>
      <w:r>
        <w:rPr>
          <w:rFonts w:ascii="Times New Roman" w:hAnsi="Times New Roman"/>
          <w:sz w:val="24"/>
        </w:rPr>
        <w:t xml:space="preserve"> The method of Claim 1, wherein scoring includes a third AI-enhanced stage using a Large Language Model invoked conditionally only for scores in an ambiguous range, with the final score as a weighted blend of probabilistic and LLM scores.</w:t>
      </w:r>
    </w:p>
    <w:p>
      <w:pPr>
        <w:spacing w:before="40" w:after="80"/>
        <w:jc w:val="both"/>
      </w:pPr>
      <w:r>
        <w:rPr>
          <w:rFonts w:ascii="Times New Roman" w:hAnsi="Times New Roman"/>
          <w:b/>
          <w:sz w:val="24"/>
        </w:rPr>
        <w:t>Claim 7.</w:t>
      </w:r>
      <w:r>
        <w:rPr>
          <w:rFonts w:ascii="Times New Roman" w:hAnsi="Times New Roman"/>
          <w:sz w:val="24"/>
        </w:rPr>
        <w:t xml:space="preserve"> The method of Claim 1, wherein nickname variant encoding uses a stored table of equivalence groups covering 90+ given name families, generating phonetic blocking keys for each equivalent form.</w:t>
      </w:r>
    </w:p>
    <w:p>
      <w:pPr>
        <w:spacing w:before="40" w:after="80"/>
        <w:jc w:val="both"/>
      </w:pPr>
      <w:r>
        <w:rPr>
          <w:rFonts w:ascii="Times New Roman" w:hAnsi="Times New Roman"/>
          <w:b/>
          <w:sz w:val="24"/>
        </w:rPr>
        <w:t>Claim 8.</w:t>
      </w:r>
      <w:r>
        <w:rPr>
          <w:rFonts w:ascii="Times New Roman" w:hAnsi="Times New Roman"/>
          <w:sz w:val="24"/>
        </w:rPr>
        <w:t xml:space="preserve"> The method of Claim 1, wherein the blocking index is maintained as dual concurrent hash maps — an inverted index mapping keys to record sets and a forward index mapping records to key sets — enabling O(1) complete removal of a record from the blocking index.</w:t>
      </w:r>
    </w:p>
    <w:p>
      <w:pPr>
        <w:spacing w:before="40" w:after="80"/>
        <w:jc w:val="both"/>
      </w:pPr>
      <w:r>
        <w:rPr>
          <w:rFonts w:ascii="Times New Roman" w:hAnsi="Times New Roman"/>
          <w:b/>
          <w:sz w:val="24"/>
        </w:rPr>
        <w:t>Claim 9.</w:t>
      </w:r>
      <w:r>
        <w:rPr>
          <w:rFonts w:ascii="Times New Roman" w:hAnsi="Times New Roman"/>
          <w:sz w:val="24"/>
        </w:rPr>
        <w:t xml:space="preserve"> The method of Claim 2, wherein timeline events are persisted as structured documents to a distributed document store partitioned by golden record identifier, containing event type, prior state, new state, timestamp, actor, and event-specific metadata.</w:t>
      </w:r>
    </w:p>
    <w:p>
      <w:pPr>
        <w:spacing w:before="40" w:after="80"/>
        <w:jc w:val="both"/>
      </w:pPr>
      <w:r>
        <w:rPr>
          <w:rFonts w:ascii="Times New Roman" w:hAnsi="Times New Roman"/>
          <w:b/>
          <w:sz w:val="24"/>
        </w:rPr>
        <w:t>Claim 10.</w:t>
      </w:r>
      <w:r>
        <w:rPr>
          <w:rFonts w:ascii="Times New Roman" w:hAnsi="Times New Roman"/>
          <w:sz w:val="24"/>
        </w:rPr>
        <w:t xml:space="preserve"> The system of Claim 3, wherein the E-step uses log-space arithmetic with a maximum-log offset to prevent floating-point underflow during posterior probability computation.</w:t>
      </w:r>
    </w:p>
    <w:p>
      <w:pPr>
        <w:spacing w:before="40" w:after="80"/>
        <w:jc w:val="both"/>
      </w:pPr>
      <w:r>
        <w:rPr>
          <w:rFonts w:ascii="Times New Roman" w:hAnsi="Times New Roman"/>
          <w:b/>
          <w:sz w:val="24"/>
        </w:rPr>
        <w:t>Claim 11.</w:t>
      </w:r>
      <w:r>
        <w:rPr>
          <w:rFonts w:ascii="Times New Roman" w:hAnsi="Times New Roman"/>
          <w:sz w:val="24"/>
        </w:rPr>
        <w:t xml:space="preserve"> The system of Claim 3, further comprising a query-time survivorship rule engine that assembles golden records at retrieval time by applying configurable per-attribute rules from: source priority ordering, most-recent timestamp, majority vote, supremacy source, first non-null, or longest string; enabling rule changes to take effect immediately without data layer recomputation.</w:t>
      </w:r>
    </w:p>
    <w:p>
      <w:pPr>
        <w:spacing w:before="40" w:after="80"/>
        <w:jc w:val="both"/>
      </w:pPr>
      <w:r>
        <w:rPr>
          <w:rFonts w:ascii="Times New Roman" w:hAnsi="Times New Roman"/>
          <w:b/>
          <w:sz w:val="24"/>
        </w:rPr>
        <w:t>Claim 12.</w:t>
      </w:r>
      <w:r>
        <w:rPr>
          <w:rFonts w:ascii="Times New Roman" w:hAnsi="Times New Roman"/>
          <w:sz w:val="24"/>
        </w:rPr>
        <w:t xml:space="preserve"> The method of Claim 4, wherein feature vectors captured at decision time preserve the statistical basis for the human label independent of subsequent mutations to the underlying records, enabling replay-free retraining.</w:t>
      </w:r>
    </w:p>
    <w:p>
      <w:pPr>
        <w:spacing w:before="40" w:after="80"/>
        <w:jc w:val="both"/>
      </w:pPr>
      <w:r>
        <w:rPr>
          <w:rFonts w:ascii="Times New Roman" w:hAnsi="Times New Roman"/>
          <w:b/>
          <w:sz w:val="24"/>
        </w:rPr>
        <w:t>Claim 13.</w:t>
      </w:r>
      <w:r>
        <w:rPr>
          <w:rFonts w:ascii="Times New Roman" w:hAnsi="Times New Roman"/>
          <w:sz w:val="24"/>
        </w:rPr>
        <w:t xml:space="preserve"> The method of Claim 5, wherein the provisional golden identifier is a system-generated zero-padded numeric string, and wherein a client-supplied identifier in any format may override the auto-generated identifier during migration from legacy systems.</w:t>
      </w:r>
    </w:p>
    <w:p>
      <w:pPr>
        <w:spacing w:before="40" w:after="80"/>
        <w:jc w:val="both"/>
      </w:pPr>
      <w:r>
        <w:rPr>
          <w:rFonts w:ascii="Times New Roman" w:hAnsi="Times New Roman"/>
          <w:b/>
          <w:sz w:val="24"/>
        </w:rPr>
        <w:t>Claim 14.</w:t>
      </w:r>
      <w:r>
        <w:rPr>
          <w:rFonts w:ascii="Times New Roman" w:hAnsi="Times New Roman"/>
          <w:sz w:val="24"/>
        </w:rPr>
        <w:t xml:space="preserve"> A method for transitive entity cluster formation using Union-Find with path compression and union-by-rank, wherein any two records transitively connected through a chain of pairwise matches are assigned to the same cluster regardless of whether they were directly compared.</w:t>
      </w:r>
    </w:p>
    <w:p>
      <w:pPr>
        <w:spacing w:before="40" w:after="80"/>
        <w:jc w:val="both"/>
      </w:pPr>
      <w:r>
        <w:rPr>
          <w:rFonts w:ascii="Times New Roman" w:hAnsi="Times New Roman"/>
          <w:b/>
          <w:sz w:val="24"/>
        </w:rPr>
        <w:t>Claim 15.</w:t>
      </w:r>
      <w:r>
        <w:rPr>
          <w:rFonts w:ascii="Times New Roman" w:hAnsi="Times New Roman"/>
          <w:sz w:val="24"/>
        </w:rPr>
        <w:t xml:space="preserve"> The method of Claim 1, wherein probabilistic scoring applies twenty or more similarity algorithms including Jaro-Winkler, token sort ratio, token set ratio, bigram Jaccard, trigram Jaccard, Damerau-Levenshtein, Double Metaphone, TF-IDF character n-gram cosine similarity, and nickname equivalence lookup, with outputs combined using Fellegi-Sunter log-likelihood weighting.</w:t>
      </w:r>
    </w:p>
    <w:p>
      <w:pPr>
        <w:spacing w:before="80" w:after="80"/>
        <w:pBdr>
          <w:bottom w:val="single" w:sz="6" w:space="1" w:color="6B7280"/>
        </w:pBdr>
      </w:pPr>
    </w:p>
    <w:p>
      <w:pPr>
        <w:pStyle w:val="Heading2"/>
      </w:pPr>
      <w:r>
        <w:t>ABSTRACT</w:t>
      </w:r>
    </w:p>
    <w:p>
      <w:pPr>
        <w:spacing w:before="40" w:after="80"/>
        <w:jc w:val="both"/>
      </w:pPr>
      <w:r>
        <w:rPr>
          <w:rFonts w:ascii="Times New Roman" w:hAnsi="Times New Roman"/>
          <w:b w:val="0"/>
          <w:i w:val="0"/>
          <w:sz w:val="24"/>
        </w:rPr>
        <w:t>Averio MDM is an enterprise Master Data Management platform built around five technical innovations for entity resolution at scale. A nine-strategy union blocking engine brings more true match candidates into scope than single-strategy approaches by applying phonetic, demographic, identifier, geographic, and contact strategies simultaneously and taking their union. A nightly Expectation-Maximization algorithm re-calibrates the Fellegi-Sunter match model parameters from unlabeled data, keeping accuracy stable as data characteristics evolve over time. A three-stage cascading pipeline routes records through deterministic, probabilistic, and AI-enhanced matching in sequence, using Large Language Model disambiguation only for the statistically ambiguous subset. A provisional golden identity system assigns every record a permanent identifier before its first database commit, so no record is ever in a null identity state regardless of where it sits in the review process. A post-update drift detection algorithm re-evaluates cluster membership on every attribute update and automatically corrects incorrect merges as data quality improves, recording all membership changes as an immutable timeline for compliance audit.</w:t>
      </w:r>
    </w:p>
    <w:p>
      <w:pPr>
        <w:spacing w:before="80" w:after="80"/>
        <w:pBdr>
          <w:bottom w:val="single" w:sz="6" w:space="1" w:color="6B7280"/>
        </w:pBdr>
      </w:pPr>
    </w:p>
    <w:p>
      <w:pPr>
        <w:pStyle w:val="Heading2"/>
      </w:pPr>
      <w:r>
        <w:t>INVENTOR DECLARATION</w:t>
      </w:r>
    </w:p>
    <w:p>
      <w:pPr>
        <w:spacing w:before="40" w:after="80"/>
        <w:jc w:val="both"/>
      </w:pPr>
      <w:r>
        <w:rPr>
          <w:rFonts w:ascii="Times New Roman" w:hAnsi="Times New Roman"/>
          <w:b w:val="0"/>
          <w:i w:val="0"/>
          <w:sz w:val="24"/>
        </w:rPr>
        <w:t>I, Suvojeet Pal, declare that I am the sole inventor of the subject matter described and claimed in this provisional patent application. I have conceived and developed the Averio MDM system described herein as an individual. The system reflects my own original technical design based on direct experience with the limitations of existing enterprise Master Data Management products.</w:t>
      </w:r>
    </w:p>
    <w:p>
      <w:pPr>
        <w:spacing w:before="40" w:after="80"/>
        <w:jc w:val="both"/>
      </w:pPr>
      <w:r>
        <w:rPr>
          <w:rFonts w:ascii="Times New Roman" w:hAnsi="Times New Roman"/>
          <w:b w:val="0"/>
          <w:i w:val="0"/>
          <w:sz w:val="24"/>
        </w:rPr>
        <w:t>I acknowledge the duty to disclose information material to patentability as defined in 37 C.F.R. § 1.56.</w:t>
      </w:r>
    </w:p>
    <w:p>
      <w:pPr>
        <w:spacing w:before="40" w:after="40"/>
        <w:jc w:val="both"/>
      </w:pPr>
      <w:r>
        <w:rPr>
          <w:rFonts w:ascii="Times New Roman" w:hAnsi="Times New Roman"/>
          <w:b/>
          <w:i w:val="0"/>
          <w:sz w:val="24"/>
        </w:rPr>
        <w:t>Inventor:</w:t>
      </w:r>
    </w:p>
    <w:p>
      <w:pPr>
        <w:spacing w:before="40" w:after="80"/>
        <w:jc w:val="both"/>
      </w:pPr>
      <w:r>
        <w:rPr>
          <w:rFonts w:ascii="Times New Roman" w:hAnsi="Times New Roman"/>
          <w:b w:val="0"/>
          <w:i w:val="0"/>
          <w:sz w:val="24"/>
        </w:rPr>
        <w:t>Name: Suvojeet Pal</w:t>
      </w:r>
    </w:p>
    <w:p>
      <w:pPr>
        <w:spacing w:before="40" w:after="80"/>
        <w:jc w:val="both"/>
      </w:pPr>
      <w:r>
        <w:rPr>
          <w:rFonts w:ascii="Times New Roman" w:hAnsi="Times New Roman"/>
          <w:b w:val="0"/>
          <w:i w:val="0"/>
          <w:sz w:val="24"/>
        </w:rPr>
        <w:t>Residence: [Address]</w:t>
      </w:r>
    </w:p>
    <w:p>
      <w:pPr>
        <w:spacing w:before="40" w:after="80"/>
        <w:jc w:val="both"/>
      </w:pPr>
      <w:r>
        <w:rPr>
          <w:rFonts w:ascii="Times New Roman" w:hAnsi="Times New Roman"/>
          <w:b w:val="0"/>
          <w:i w:val="0"/>
          <w:sz w:val="24"/>
        </w:rPr>
        <w:t>Citizenship: [Citizenship]</w:t>
      </w:r>
    </w:p>
    <w:p>
      <w:pPr>
        <w:spacing w:before="40" w:after="80"/>
        <w:jc w:val="both"/>
      </w:pPr>
      <w:r>
        <w:rPr>
          <w:rFonts w:ascii="Times New Roman" w:hAnsi="Times New Roman"/>
          <w:b w:val="0"/>
          <w:i w:val="0"/>
          <w:sz w:val="24"/>
        </w:rPr>
        <w:t>Signature: ____________________  Date: ____________</w:t>
      </w:r>
    </w:p>
    <w:p>
      <w:pPr>
        <w:spacing w:before="80" w:after="80"/>
        <w:pBdr>
          <w:bottom w:val="single" w:sz="6" w:space="1" w:color="6B7280"/>
        </w:pBdr>
      </w:pPr>
    </w:p>
    <w:p>
      <w:pPr>
        <w:pStyle w:val="Heading2"/>
      </w:pPr>
      <w:r>
        <w:t>PRIOR ART CONSIDERED</w:t>
      </w:r>
    </w:p>
    <w:p>
      <w:pPr>
        <w:pStyle w:val="Heading3"/>
      </w:pPr>
      <w:r>
        <w:t>U.S. Patents</w:t>
      </w:r>
    </w:p>
    <w:p>
      <w:pPr>
        <w:pStyle w:val="ListBullet"/>
        <w:spacing w:before="20" w:after="20"/>
      </w:pPr>
      <w:r>
        <w:rPr>
          <w:rFonts w:ascii="Times New Roman" w:hAnsi="Times New Roman"/>
          <w:sz w:val="24"/>
        </w:rPr>
        <w:t>US 7,853,573 B2 — Data integration system (IBM InfoSphere)</w:t>
      </w:r>
    </w:p>
    <w:p>
      <w:pPr>
        <w:pStyle w:val="ListBullet"/>
        <w:spacing w:before="20" w:after="20"/>
      </w:pPr>
      <w:r>
        <w:rPr>
          <w:rFonts w:ascii="Times New Roman" w:hAnsi="Times New Roman"/>
          <w:sz w:val="24"/>
        </w:rPr>
        <w:t>US 8,285,719 B2 — Entity resolution in master data management</w:t>
      </w:r>
    </w:p>
    <w:p>
      <w:pPr>
        <w:pStyle w:val="ListBullet"/>
        <w:spacing w:before="20" w:after="20"/>
      </w:pPr>
      <w:r>
        <w:rPr>
          <w:rFonts w:ascii="Times New Roman" w:hAnsi="Times New Roman"/>
          <w:sz w:val="24"/>
        </w:rPr>
        <w:t>US 9,330,169 B2 — Probabilistic record linkage with feedback learning</w:t>
      </w:r>
    </w:p>
    <w:p>
      <w:pPr>
        <w:pStyle w:val="ListBullet"/>
        <w:spacing w:before="20" w:after="20"/>
      </w:pPr>
      <w:r>
        <w:rPr>
          <w:rFonts w:ascii="Times New Roman" w:hAnsi="Times New Roman"/>
          <w:sz w:val="24"/>
        </w:rPr>
        <w:t>US 10,437,882 B2 — Dynamic survivorship rules for master data</w:t>
      </w:r>
    </w:p>
    <w:p>
      <w:pPr>
        <w:pStyle w:val="Heading3"/>
      </w:pPr>
      <w:r>
        <w:t>Published Literature</w:t>
      </w:r>
    </w:p>
    <w:p>
      <w:pPr>
        <w:pStyle w:val="ListNumber"/>
        <w:spacing w:before="20" w:after="20"/>
      </w:pPr>
      <w:r>
        <w:rPr>
          <w:rFonts w:ascii="Times New Roman" w:hAnsi="Times New Roman"/>
          <w:sz w:val="24"/>
        </w:rPr>
        <w:t>Fellegi, I.P. and Sunter, A.B. (1969). A theory for record linkage. *Journal of the American Statistical Association*, 64(328), 1183-1210.</w:t>
      </w:r>
    </w:p>
    <w:p>
      <w:pPr>
        <w:pStyle w:val="ListNumber"/>
        <w:spacing w:before="20" w:after="20"/>
      </w:pPr>
      <w:r>
        <w:rPr>
          <w:rFonts w:ascii="Times New Roman" w:hAnsi="Times New Roman"/>
          <w:sz w:val="24"/>
        </w:rPr>
        <w:t>Winkler, W.E. (1988). Using the EM algorithm for weight computation in the Fellegi-Sunter model. *Proceedings ASA Survey Research Methods*, 667-671.</w:t>
      </w:r>
    </w:p>
    <w:p>
      <w:pPr>
        <w:pStyle w:val="ListNumber"/>
        <w:spacing w:before="20" w:after="20"/>
      </w:pPr>
      <w:r>
        <w:rPr>
          <w:rFonts w:ascii="Times New Roman" w:hAnsi="Times New Roman"/>
          <w:sz w:val="24"/>
        </w:rPr>
        <w:t>Larsen, M.D. and Rubin, D.B. (2001). Iterative automated record linkage using mixture models. *JASA*, 96(453), 32-41.</w:t>
      </w:r>
    </w:p>
    <w:p>
      <w:pPr>
        <w:pStyle w:val="ListNumber"/>
        <w:spacing w:before="20" w:after="20"/>
      </w:pPr>
      <w:r>
        <w:rPr>
          <w:rFonts w:ascii="Times New Roman" w:hAnsi="Times New Roman"/>
          <w:sz w:val="24"/>
        </w:rPr>
        <w:t>Damerau, F.J. (1964). A technique for computer detection and correction of spelling errors. *CACM*, 7(3), 171-176.</w:t>
      </w:r>
    </w:p>
    <w:p>
      <w:pPr>
        <w:pStyle w:val="ListNumber"/>
        <w:spacing w:before="20" w:after="20"/>
      </w:pPr>
      <w:r>
        <w:rPr>
          <w:rFonts w:ascii="Times New Roman" w:hAnsi="Times New Roman"/>
          <w:sz w:val="24"/>
        </w:rPr>
        <w:t>Christen, P. (2012). *Data Matching*. Springer.</w:t>
      </w:r>
    </w:p>
    <w:p>
      <w:pPr>
        <w:pStyle w:val="ListNumber"/>
        <w:spacing w:before="20" w:after="20"/>
      </w:pPr>
      <w:r>
        <w:rPr>
          <w:rFonts w:ascii="Times New Roman" w:hAnsi="Times New Roman"/>
          <w:sz w:val="24"/>
        </w:rPr>
        <w:t>Köpcke, H. and Rahm, E. (2010). Frameworks for entity matching. *Data &amp; Knowledge Engineering*, 69(2), 197-210.</w:t>
      </w:r>
    </w:p>
    <w:p>
      <w:pPr>
        <w:pStyle w:val="Heading3"/>
      </w:pPr>
      <w:r>
        <w:t>How This Invention Differs</w:t>
      </w:r>
    </w:p>
    <w:p>
      <w:pPr>
        <w:spacing w:before="40" w:after="40"/>
        <w:jc w:val="both"/>
      </w:pPr>
      <w:r>
        <w:rPr>
          <w:rFonts w:ascii="Times New Roman" w:hAnsi="Times New Roman"/>
          <w:b/>
          <w:sz w:val="24"/>
        </w:rPr>
        <w:t>Over US 9,330,169:</w:t>
      </w:r>
      <w:r>
        <w:rPr>
          <w:rFonts w:ascii="Times New Roman" w:hAnsi="Times New Roman"/>
          <w:sz w:val="24"/>
        </w:rPr>
        <w:t xml:space="preserve"> That system requires labeled training pairs. This invention learns parameters unsupervised via EM on a schedule.</w:t>
      </w:r>
    </w:p>
    <w:p>
      <w:pPr>
        <w:spacing w:before="40" w:after="40"/>
        <w:jc w:val="both"/>
      </w:pPr>
      <w:r>
        <w:rPr>
          <w:rFonts w:ascii="Times New Roman" w:hAnsi="Times New Roman"/>
          <w:b/>
          <w:sz w:val="24"/>
        </w:rPr>
        <w:t>Over all blocking prior art:</w:t>
      </w:r>
      <w:r>
        <w:rPr>
          <w:rFonts w:ascii="Times New Roman" w:hAnsi="Times New Roman"/>
          <w:sz w:val="24"/>
        </w:rPr>
        <w:t xml:space="preserve"> No prior reference discloses nine independent strategies in union with a dual inverted/forward concurrent hash map index. Prior systems use two to four strategies at most.</w:t>
      </w:r>
    </w:p>
    <w:p>
      <w:pPr>
        <w:spacing w:before="40" w:after="40"/>
        <w:jc w:val="both"/>
      </w:pPr>
      <w:r>
        <w:rPr>
          <w:rFonts w:ascii="Times New Roman" w:hAnsi="Times New Roman"/>
          <w:b/>
          <w:sz w:val="24"/>
        </w:rPr>
        <w:t>Over US 10,437,882:</w:t>
      </w:r>
      <w:r>
        <w:rPr>
          <w:rFonts w:ascii="Times New Roman" w:hAnsi="Times New Roman"/>
          <w:sz w:val="24"/>
        </w:rPr>
        <w:t xml:space="preserve"> That system pre-computes and stores golden records. This invention assembles them at query time, enabling instant rule changes and view-scoped golden records.</w:t>
      </w:r>
    </w:p>
    <w:p>
      <w:pPr>
        <w:spacing w:before="40" w:after="40"/>
        <w:jc w:val="both"/>
      </w:pPr>
      <w:r>
        <w:rPr>
          <w:rFonts w:ascii="Times New Roman" w:hAnsi="Times New Roman"/>
          <w:b/>
          <w:sz w:val="24"/>
        </w:rPr>
        <w:t>Over all commercial MDM systems:</w:t>
      </w:r>
      <w:r>
        <w:rPr>
          <w:rFonts w:ascii="Times New Roman" w:hAnsi="Times New Roman"/>
          <w:sz w:val="24"/>
        </w:rPr>
        <w:t xml:space="preserve"> No prior art discloses the Provisional Golden Identity pattern. All known commercial MDM platforms (IBM InfoSphere MDM, Informatica MDM, SAP Master Data Governance, TIBCO EBX, Reltio Cloud) allow records in steward review to exist without a golden identifier.</w:t>
      </w:r>
    </w:p>
    <w:p>
      <w:pPr>
        <w:spacing w:before="40" w:after="40"/>
        <w:jc w:val="both"/>
      </w:pPr>
      <w:r>
        <w:rPr>
          <w:rFonts w:ascii="Times New Roman" w:hAnsi="Times New Roman"/>
          <w:b/>
          <w:sz w:val="24"/>
        </w:rPr>
        <w:t>Over all commercial MDM systems:</w:t>
      </w:r>
      <w:r>
        <w:rPr>
          <w:rFonts w:ascii="Times New Roman" w:hAnsi="Times New Roman"/>
          <w:sz w:val="24"/>
        </w:rPr>
        <w:t xml:space="preserve"> No prior art discloses post-update probabilistic cluster drift detection. Existing systems leave incorrect merges in place indefinitely after the attributes that caused the merge are corrected.</w:t>
      </w:r>
    </w:p>
    <w:p>
      <w:pPr>
        <w:spacing w:before="40" w:after="40"/>
        <w:jc w:val="both"/>
      </w:pPr>
      <w:r>
        <w:rPr>
          <w:rFonts w:ascii="Times New Roman" w:hAnsi="Times New Roman"/>
          <w:b/>
          <w:sz w:val="24"/>
        </w:rPr>
        <w:t>Over LLM-based matching proposals:</w:t>
      </w:r>
      <w:r>
        <w:rPr>
          <w:rFonts w:ascii="Times New Roman" w:hAnsi="Times New Roman"/>
          <w:sz w:val="24"/>
        </w:rPr>
        <w:t xml:space="preserve"> No prior art discloses conditional three-stage cascading that uses LLM disambiguation only for the ambiguous score range, preserving deterministic and probabilistic performance for the majority of cases while using AI as a targeted fallback.</w:t>
      </w:r>
    </w:p>
    <w:p>
      <w:pPr>
        <w:spacing w:before="80" w:after="80"/>
        <w:pBdr>
          <w:bottom w:val="single" w:sz="6" w:space="1" w:color="6B7280"/>
        </w:pBdr>
      </w:pPr>
    </w:p>
    <w:p>
      <w:pPr>
        <w:spacing w:before="40" w:after="80"/>
        <w:jc w:val="both"/>
      </w:pPr>
      <w:r>
        <w:rPr>
          <w:rFonts w:ascii="Times New Roman" w:hAnsi="Times New Roman"/>
          <w:b w:val="0"/>
          <w:i w:val="0"/>
          <w:sz w:val="24"/>
        </w:rPr>
        <w:t>*End of Provisional Patent Application — Docket AVERIO-001-US-PROV*</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Arial" w:hAnsi="Arial"/>
      <w:b/>
      <w:bCs/>
      <w:color w:val="3B007F"/>
      <w:sz w:val="32"/>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ial" w:hAnsi="Arial"/>
      <w:b/>
      <w:bCs/>
      <w:color w:val="6000BF"/>
      <w:sz w:val="26"/>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ascii="Arial" w:hAnsi="Arial"/>
      <w:b/>
      <w:bCs/>
      <w:color w:val="1E1B4B"/>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