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PROOFGAP AI</w:t>
      </w:r>
    </w:p>
    <w:p>
      <w:pPr>
        <w:pStyle w:val="Subtitle"/>
      </w:pPr>
      <w:r>
        <w:t>Final implementation blueprint &amp; team execution plan  |  AI Builder Cup 2026</w:t>
      </w:r>
    </w:p>
    <w:p>
      <w:r>
        <w:t>Manufacturing — Intelligent Operations &amp; Industrial Efficiency</w:t>
      </w:r>
    </w:p>
    <w:p>
      <w:r>
        <w:rPr>
          <w:b/>
          <w:color w:val="0D5378"/>
        </w:rPr>
        <w:t xml:space="preserve">North star  </w:t>
      </w:r>
      <w:r>
        <w:t>Prove that a factory team can respond to an incident by finding the next useful evidence, taking only feasible actions, and making reviewable decisions.</w:t>
      </w:r>
    </w:p>
    <w:p>
      <w:r>
        <w:rPr>
          <w:b/>
          <w:color w:val="0D5378"/>
        </w:rPr>
        <w:t xml:space="preserve">Boundary  </w:t>
      </w:r>
      <w:r>
        <w:t>Prototype decision support, not certified quality assurance, probabilistic defect prediction, autonomous machinery control, or proof of industry-first novelty.</w:t>
      </w:r>
    </w:p>
    <w:p>
      <w:r>
        <w:rPr>
          <w:b/>
          <w:color w:val="0D5378"/>
        </w:rPr>
        <w:t xml:space="preserve">Hard deadline  </w:t>
      </w:r>
      <w:r>
        <w:t>Working deployed build and submission materials by 18 October 2026. Verify existing team eligibility and final portal requirements.</w:t>
      </w:r>
    </w:p>
    <w:p>
      <w:pPr>
        <w:pStyle w:val="Heading1"/>
      </w:pPr>
      <w:r>
        <w:t>1  Executive decisions — freeze the MVP</w:t>
      </w:r>
    </w:p>
    <w:p>
      <w:pPr>
        <w:pStyle w:val="ListBullet"/>
      </w:pPr>
      <w:r>
        <w:t>One seeded M-04 vibration incident with deterministic machine → production-run → batch → order links; optional second contrasting low-impact seed only if core passes.</w:t>
      </w:r>
    </w:p>
    <w:p>
      <w:pPr>
        <w:pStyle w:val="ListBullet"/>
      </w:pPr>
      <w:r>
        <w:t>Three or more seeded candidate evidence checks, feasible filtering, ranked explanations, and excluded-action reasons.</w:t>
      </w:r>
    </w:p>
    <w:p>
      <w:pPr>
        <w:pStyle w:val="ListBullet"/>
      </w:pPr>
      <w:r>
        <w:t>One real evidence submission endpoint that persists a result and recomputes gaps, eligibility, scores, and recommendation from state.</w:t>
      </w:r>
    </w:p>
    <w:p>
      <w:pPr>
        <w:pStyle w:val="ListBullet"/>
      </w:pPr>
      <w:r>
        <w:t>Gemini grounded explanation, schema validation, citations to internal record IDs, and non-AI fallback.</w:t>
      </w:r>
    </w:p>
    <w:p>
      <w:pPr>
        <w:pStyle w:val="ListBullet"/>
      </w:pPr>
      <w:r>
        <w:t>Approval with authenticated demo roles OR explicitly simulated approval, plus persisted audit events.</w:t>
      </w:r>
    </w:p>
    <w:p>
      <w:pPr>
        <w:pStyle w:val="ListBullet"/>
      </w:pPr>
      <w:r>
        <w:t>A reproducible baseline comparison and a three-minute walkthrough of the deployed product.</w:t>
      </w:r>
    </w:p>
    <w:p>
      <w:r>
        <w:t>Do not build: PLC/SCADA controls, live sensor integrations, computer vision, unvalidated risk percentages, complex multi-agent orchestration, Kubernetes, or unrelated dashboard modules.</w:t>
      </w:r>
    </w:p>
    <w:p>
      <w:pPr>
        <w:pStyle w:val="Heading1"/>
      </w:pPr>
      <w:r>
        <w:t>2  User journey &amp; acceptance criteria</w:t>
      </w:r>
    </w:p>
    <w:p>
      <w:pPr>
        <w:pStyle w:val="ListNumber"/>
      </w:pPr>
      <w:r>
        <w:t>Open M-04 incident; see threshold, reading, timestamp, production time window and provenance.</w:t>
      </w:r>
    </w:p>
    <w:p>
      <w:pPr>
        <w:pStyle w:val="ListNumber"/>
      </w:pPr>
      <w:r>
        <w:t>Graph traces exactly the affected runs, batches and order/shipment states. A missing link is UNKNOWN, never SAFE.</w:t>
      </w:r>
    </w:p>
    <w:p>
      <w:pPr>
        <w:pStyle w:val="ListNumber"/>
      </w:pPr>
      <w:r>
        <w:t>System identifies unresolved evidence gaps; prohibited actions are excluded with reasons before scoring.</w:t>
      </w:r>
    </w:p>
    <w:p>
      <w:pPr>
        <w:pStyle w:val="ListNumber"/>
      </w:pPr>
      <w:r>
        <w:t>Operator views ≥3 feasible candidate checks, each with factor values, normalized score, ranking and limitations.</w:t>
      </w:r>
    </w:p>
    <w:p>
      <w:pPr>
        <w:pStyle w:val="ListNumber"/>
      </w:pPr>
      <w:r>
        <w:t>Operator submits an inspection result; persisted backend state changes; graph/gaps/ranking refresh on reload.</w:t>
      </w:r>
    </w:p>
    <w:p>
      <w:pPr>
        <w:pStyle w:val="ListNumber"/>
      </w:pPr>
      <w:r>
        <w:t>Gemini summarizes supported facts vs hypotheses, names missing evidence, and never invents IDs.</w:t>
      </w:r>
    </w:p>
    <w:p>
      <w:pPr>
        <w:pStyle w:val="ListNumber"/>
      </w:pPr>
      <w:r>
        <w:t>Authorized reviewer confirms a permissible simulated action; server records actor, role, input state/version, decision, timestamp and resulting work order.</w:t>
      </w:r>
    </w:p>
    <w:p>
      <w:pPr>
        <w:pStyle w:val="Heading1"/>
      </w:pPr>
      <w:r>
        <w:t>3  Architecture and trust boundaries</w:t>
      </w:r>
    </w:p>
    <w:p>
      <w:r>
        <w:t>Single repository; React + TypeScript frontend; Python FastAPI backend; SQLite for local development and a persistent hosted store in deployed mode (Firestore or managed SQL). Containerize backend/UI for Cloud Run, or use Firebase Hosting for UI + Cloud Run API. Use Gemini via a supported Google AI API/Vertex AI configuration. Pin versions and store secrets in runtime configuration.</w:t>
      </w:r>
    </w:p>
    <w:p>
      <w:r>
        <w:t>Trust: browser sends requests, never authorization truth; backend owns traceability, constraints, scores, persistence, and audit. Gemini receives curated evidence and returns explanations only; its response cannot execute holds, modify records, supply verified numerical risk, or override rules.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Layer / owner</w:t>
            </w:r>
          </w:p>
        </w:tc>
        <w:tc>
          <w:tcPr>
            <w:tcW w:type="dxa" w:w="3293"/>
            <w:vAlign w:val="center"/>
          </w:tcPr>
          <w:p>
            <w:pPr>
              <w:spacing w:after="40"/>
            </w:pPr>
            <w:r>
              <w:rPr>
                <w:sz w:val="16"/>
              </w:rPr>
              <w:t>Deliverable</w:t>
            </w:r>
          </w:p>
        </w:tc>
        <w:tc>
          <w:tcPr>
            <w:tcW w:type="dxa" w:w="3293"/>
            <w:vAlign w:val="center"/>
          </w:tcPr>
          <w:p>
            <w:pPr>
              <w:spacing w:after="40"/>
            </w:pPr>
            <w:r>
              <w:rPr>
                <w:sz w:val="16"/>
              </w:rPr>
              <w:t>Non-negotiable contract</w:t>
            </w:r>
          </w:p>
        </w:tc>
      </w:tr>
      <w:tr>
        <w:tc>
          <w:tcPr>
            <w:tcW w:type="dxa" w:w="3293"/>
            <w:vAlign w:val="center"/>
          </w:tcPr>
          <w:p>
            <w:pPr>
              <w:spacing w:after="40"/>
            </w:pPr>
            <w:r>
              <w:rPr>
                <w:sz w:val="16"/>
              </w:rPr>
              <w:t>Backend / Codex</w:t>
            </w:r>
          </w:p>
        </w:tc>
        <w:tc>
          <w:tcPr>
            <w:tcW w:type="dxa" w:w="3293"/>
            <w:vAlign w:val="center"/>
          </w:tcPr>
          <w:p>
            <w:pPr>
              <w:spacing w:after="40"/>
            </w:pPr>
            <w:r>
              <w:rPr>
                <w:sz w:val="16"/>
              </w:rPr>
              <w:t>Incident, graph, gap, candidate, evidence, approval, audit APIs</w:t>
            </w:r>
          </w:p>
        </w:tc>
        <w:tc>
          <w:tcPr>
            <w:tcW w:type="dxa" w:w="3293"/>
            <w:vAlign w:val="center"/>
          </w:tcPr>
          <w:p>
            <w:pPr>
              <w:spacing w:after="40"/>
            </w:pPr>
            <w:r>
              <w:rPr>
                <w:sz w:val="16"/>
              </w:rPr>
              <w:t>Deterministic rules + tests; versioned state</w:t>
            </w:r>
          </w:p>
        </w:tc>
      </w:tr>
      <w:tr>
        <w:tc>
          <w:tcPr>
            <w:tcW w:type="dxa" w:w="3293"/>
            <w:vAlign w:val="center"/>
          </w:tcPr>
          <w:p>
            <w:pPr>
              <w:spacing w:after="40"/>
            </w:pPr>
            <w:r>
              <w:rPr>
                <w:sz w:val="16"/>
              </w:rPr>
              <w:t>Frontend / Claude</w:t>
            </w:r>
          </w:p>
        </w:tc>
        <w:tc>
          <w:tcPr>
            <w:tcW w:type="dxa" w:w="3293"/>
            <w:vAlign w:val="center"/>
          </w:tcPr>
          <w:p>
            <w:pPr>
              <w:spacing w:after="40"/>
            </w:pPr>
            <w:r>
              <w:rPr>
                <w:sz w:val="16"/>
              </w:rPr>
              <w:t>Dashboard, graph, ranking, inspection form, approval UX</w:t>
            </w:r>
          </w:p>
        </w:tc>
        <w:tc>
          <w:tcPr>
            <w:tcW w:type="dxa" w:w="3293"/>
            <w:vAlign w:val="center"/>
          </w:tcPr>
          <w:p>
            <w:pPr>
              <w:spacing w:after="40"/>
            </w:pPr>
            <w:r>
              <w:rPr>
                <w:sz w:val="16"/>
              </w:rPr>
              <w:t>Render server values; no fabricated recomputation</w:t>
            </w:r>
          </w:p>
        </w:tc>
      </w:tr>
      <w:tr>
        <w:tc>
          <w:tcPr>
            <w:tcW w:type="dxa" w:w="3293"/>
            <w:vAlign w:val="center"/>
          </w:tcPr>
          <w:p>
            <w:pPr>
              <w:spacing w:after="40"/>
            </w:pPr>
            <w:r>
              <w:rPr>
                <w:sz w:val="16"/>
              </w:rPr>
              <w:t>AI / friend + Gemini</w:t>
            </w:r>
          </w:p>
        </w:tc>
        <w:tc>
          <w:tcPr>
            <w:tcW w:type="dxa" w:w="3293"/>
            <w:vAlign w:val="center"/>
          </w:tcPr>
          <w:p>
            <w:pPr>
              <w:spacing w:after="40"/>
            </w:pPr>
            <w:r>
              <w:rPr>
                <w:sz w:val="16"/>
              </w:rPr>
              <w:t>Prompts, schemas, grounding harness, evaluation</w:t>
            </w:r>
          </w:p>
        </w:tc>
        <w:tc>
          <w:tcPr>
            <w:tcW w:type="dxa" w:w="3293"/>
            <w:vAlign w:val="center"/>
          </w:tcPr>
          <w:p>
            <w:pPr>
              <w:spacing w:after="40"/>
            </w:pPr>
            <w:r>
              <w:rPr>
                <w:sz w:val="16"/>
              </w:rPr>
              <w:t>Structured response; reject unknown record IDs</w:t>
            </w:r>
          </w:p>
        </w:tc>
      </w:tr>
      <w:tr>
        <w:tc>
          <w:tcPr>
            <w:tcW w:type="dxa" w:w="3293"/>
            <w:vAlign w:val="center"/>
          </w:tcPr>
          <w:p>
            <w:pPr>
              <w:spacing w:after="40"/>
            </w:pPr>
            <w:r>
              <w:rPr>
                <w:sz w:val="16"/>
              </w:rPr>
              <w:t>Integration / both</w:t>
            </w:r>
          </w:p>
        </w:tc>
        <w:tc>
          <w:tcPr>
            <w:tcW w:type="dxa" w:w="3293"/>
            <w:vAlign w:val="center"/>
          </w:tcPr>
          <w:p>
            <w:pPr>
              <w:spacing w:after="40"/>
            </w:pPr>
            <w:r>
              <w:rPr>
                <w:sz w:val="16"/>
              </w:rPr>
              <w:t>One deployable vertical slice</w:t>
            </w:r>
          </w:p>
        </w:tc>
        <w:tc>
          <w:tcPr>
            <w:tcW w:type="dxa" w:w="3293"/>
            <w:vAlign w:val="center"/>
          </w:tcPr>
          <w:p>
            <w:pPr>
              <w:spacing w:after="40"/>
            </w:pPr>
            <w:r>
              <w:rPr>
                <w:sz w:val="16"/>
              </w:rPr>
              <w:t>Merges daily; smoke test on shared seed</w:t>
            </w:r>
          </w:p>
        </w:tc>
      </w:tr>
    </w:tbl>
    <w:p>
      <w:pPr>
        <w:pStyle w:val="Heading1"/>
      </w:pPr>
      <w:r>
        <w:t>4  Deterministic ranking specification — prototype heuristic</w:t>
      </w:r>
    </w:p>
    <w:p>
      <w:r>
        <w:t>RANKING IS NOT SCIENTIFICALLY VALIDATED INFORMATION GAIN. The planner estimates useful decision coverage using documented deterministic proxies. It never claims calibrated defect probabilities.</w:t>
      </w:r>
    </w:p>
    <w:p>
      <w:r>
        <w:t>For each ELIGIBLE candidate check j, calculate: score(j) = 100 × [0.40·I(j) + 0.30·E(j) − 0.20·C(j) − 0.10·T(j)]. Display rounded to one decimal; calculate from full precision. Scores are comparative, not probabilities. Negative scores are allowed.</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Variable</w:t>
            </w:r>
          </w:p>
        </w:tc>
        <w:tc>
          <w:tcPr>
            <w:tcW w:type="dxa" w:w="3293"/>
            <w:vAlign w:val="center"/>
          </w:tcPr>
          <w:p>
            <w:pPr>
              <w:spacing w:after="40"/>
            </w:pPr>
            <w:r>
              <w:rPr>
                <w:sz w:val="16"/>
              </w:rPr>
              <w:t>Calculation (clamp to [0,1])</w:t>
            </w:r>
          </w:p>
        </w:tc>
        <w:tc>
          <w:tcPr>
            <w:tcW w:type="dxa" w:w="3293"/>
            <w:vAlign w:val="center"/>
          </w:tcPr>
          <w:p>
            <w:pPr>
              <w:spacing w:after="40"/>
            </w:pPr>
            <w:r>
              <w:rPr>
                <w:sz w:val="16"/>
              </w:rPr>
              <w:t>Meaning</w:t>
            </w:r>
          </w:p>
        </w:tc>
      </w:tr>
      <w:tr>
        <w:tc>
          <w:tcPr>
            <w:tcW w:type="dxa" w:w="3293"/>
            <w:vAlign w:val="center"/>
          </w:tcPr>
          <w:p>
            <w:pPr>
              <w:spacing w:after="40"/>
            </w:pPr>
            <w:r>
              <w:rPr>
                <w:sz w:val="16"/>
              </w:rPr>
              <w:t>I: decision impact</w:t>
            </w:r>
          </w:p>
        </w:tc>
        <w:tc>
          <w:tcPr>
            <w:tcW w:type="dxa" w:w="3293"/>
            <w:vAlign w:val="center"/>
          </w:tcPr>
          <w:p>
            <w:pPr>
              <w:spacing w:after="40"/>
            </w:pPr>
            <w:r>
              <w:rPr>
                <w:sz w:val="16"/>
              </w:rPr>
              <w:t>min(1, sum(weight(g) for unresolved decision-relevant gaps addressed) / max(1, sum(weight(g) for all unresolved decision-relevant gaps)))</w:t>
            </w:r>
          </w:p>
        </w:tc>
        <w:tc>
          <w:tcPr>
            <w:tcW w:type="dxa" w:w="3293"/>
            <w:vAlign w:val="center"/>
          </w:tcPr>
          <w:p>
            <w:pPr>
              <w:spacing w:after="40"/>
            </w:pPr>
            <w:r>
              <w:rPr>
                <w:sz w:val="16"/>
              </w:rPr>
              <w:t>Gap weight pre-assigned 1=low, 2=medium, 3=high; do not imply causal likelihood.</w:t>
            </w:r>
          </w:p>
        </w:tc>
      </w:tr>
      <w:tr>
        <w:tc>
          <w:tcPr>
            <w:tcW w:type="dxa" w:w="3293"/>
            <w:vAlign w:val="center"/>
          </w:tcPr>
          <w:p>
            <w:pPr>
              <w:spacing w:after="40"/>
            </w:pPr>
            <w:r>
              <w:rPr>
                <w:sz w:val="16"/>
              </w:rPr>
              <w:t>E: evidence coverage</w:t>
            </w:r>
          </w:p>
        </w:tc>
        <w:tc>
          <w:tcPr>
            <w:tcW w:type="dxa" w:w="3293"/>
            <w:vAlign w:val="center"/>
          </w:tcPr>
          <w:p>
            <w:pPr>
              <w:spacing w:after="40"/>
            </w:pPr>
            <w:r>
              <w:rPr>
                <w:sz w:val="16"/>
              </w:rPr>
              <w:t>number of currently unresolved, relevant gap IDs addressable by check / max(1, number of currently unresolved, relevant gap IDs)</w:t>
            </w:r>
          </w:p>
        </w:tc>
        <w:tc>
          <w:tcPr>
            <w:tcW w:type="dxa" w:w="3293"/>
            <w:vAlign w:val="center"/>
          </w:tcPr>
          <w:p>
            <w:pPr>
              <w:spacing w:after="40"/>
            </w:pPr>
            <w:r>
              <w:rPr>
                <w:sz w:val="16"/>
              </w:rPr>
              <w:t>Potential coverage, not certainty of successful inspection.</w:t>
            </w:r>
          </w:p>
        </w:tc>
      </w:tr>
      <w:tr>
        <w:tc>
          <w:tcPr>
            <w:tcW w:type="dxa" w:w="3293"/>
            <w:vAlign w:val="center"/>
          </w:tcPr>
          <w:p>
            <w:pPr>
              <w:spacing w:after="40"/>
            </w:pPr>
            <w:r>
              <w:rPr>
                <w:sz w:val="16"/>
              </w:rPr>
              <w:t>C: cost penalty</w:t>
            </w:r>
          </w:p>
        </w:tc>
        <w:tc>
          <w:tcPr>
            <w:tcW w:type="dxa" w:w="3293"/>
            <w:vAlign w:val="center"/>
          </w:tcPr>
          <w:p>
            <w:pPr>
              <w:spacing w:after="40"/>
            </w:pPr>
            <w:r>
              <w:rPr>
                <w:sz w:val="16"/>
              </w:rPr>
              <w:t>min(1, nonnegative estimated check cost / configurable reference cost of 1000 currency units)</w:t>
            </w:r>
          </w:p>
        </w:tc>
        <w:tc>
          <w:tcPr>
            <w:tcW w:type="dxa" w:w="3293"/>
            <w:vAlign w:val="center"/>
          </w:tcPr>
          <w:p>
            <w:pPr>
              <w:spacing w:after="40"/>
            </w:pPr>
            <w:r>
              <w:rPr>
                <w:sz w:val="16"/>
              </w:rPr>
              <w:t>Use consistent synthetic currency and display raw cost.</w:t>
            </w:r>
          </w:p>
        </w:tc>
      </w:tr>
      <w:tr>
        <w:tc>
          <w:tcPr>
            <w:tcW w:type="dxa" w:w="3293"/>
            <w:vAlign w:val="center"/>
          </w:tcPr>
          <w:p>
            <w:pPr>
              <w:spacing w:after="40"/>
            </w:pPr>
            <w:r>
              <w:rPr>
                <w:sz w:val="16"/>
              </w:rPr>
              <w:t>T: time penalty</w:t>
            </w:r>
          </w:p>
        </w:tc>
        <w:tc>
          <w:tcPr>
            <w:tcW w:type="dxa" w:w="3293"/>
            <w:vAlign w:val="center"/>
          </w:tcPr>
          <w:p>
            <w:pPr>
              <w:spacing w:after="40"/>
            </w:pPr>
            <w:r>
              <w:rPr>
                <w:sz w:val="16"/>
              </w:rPr>
              <w:t>min(1, nonnegative expected hours / configurable reference duration of 8 hours)</w:t>
            </w:r>
          </w:p>
        </w:tc>
        <w:tc>
          <w:tcPr>
            <w:tcW w:type="dxa" w:w="3293"/>
            <w:vAlign w:val="center"/>
          </w:tcPr>
          <w:p>
            <w:pPr>
              <w:spacing w:after="40"/>
            </w:pPr>
            <w:r>
              <w:rPr>
                <w:sz w:val="16"/>
              </w:rPr>
              <w:t>Duration from explicit synthetic assumption.</w:t>
            </w:r>
          </w:p>
        </w:tc>
      </w:tr>
    </w:tbl>
    <w:p>
      <w:r>
        <w:t>Candidate defines check_id, gap_ids_addressable, cost, estimated_hours, required_resources, allowed_statuses, expected_result_schema, and provenance. Relevant gap = unresolved gap reachable in the affected incident graph. Coverage can overlap; after a check resolves a gap, exclude it from future I and E. Feasible candidates with no unresolved relevant gaps are excluded as NOT_USEFUL.</w:t>
      </w:r>
    </w:p>
    <w:p>
      <w:r>
        <w:t>Ranking process: (1) load incident state and gaps; (2) enforce hard feasibility constraints; (3) compute I/E/C/T for remaining candidates; (4) sort descending score, then lower raw cost, then shorter duration, then lexical check_id. Return normalized inputs and exclusions to the UI.</w:t>
      </w:r>
    </w:p>
    <w:p>
      <w:r>
        <w:t>Example (illustrative, not measured): I=.75, E=.50, C=.20, T=.25 gives 100×(.30+.15−.04−.025)=38.5. Only compare scores using the same normalizers and gap taxonomy. Check alternative weights for sensitivity; document when rankings are unstable.</w:t>
      </w:r>
    </w:p>
    <w:p>
      <w:pPr>
        <w:pStyle w:val="Heading1"/>
      </w:pPr>
      <w:r>
        <w:t>5  Feasibility rules (before ranking)</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Rule ID</w:t>
            </w:r>
          </w:p>
        </w:tc>
        <w:tc>
          <w:tcPr>
            <w:tcW w:type="dxa" w:w="3293"/>
            <w:vAlign w:val="center"/>
          </w:tcPr>
          <w:p>
            <w:pPr>
              <w:spacing w:after="40"/>
            </w:pPr>
            <w:r>
              <w:rPr>
                <w:sz w:val="16"/>
              </w:rPr>
              <w:t>Block / restriction</w:t>
            </w:r>
          </w:p>
        </w:tc>
        <w:tc>
          <w:tcPr>
            <w:tcW w:type="dxa" w:w="3293"/>
            <w:vAlign w:val="center"/>
          </w:tcPr>
          <w:p>
            <w:pPr>
              <w:spacing w:after="40"/>
            </w:pPr>
            <w:r>
              <w:rPr>
                <w:sz w:val="16"/>
              </w:rPr>
              <w:t>Displayed explanation</w:t>
            </w:r>
          </w:p>
        </w:tc>
      </w:tr>
      <w:tr>
        <w:tc>
          <w:tcPr>
            <w:tcW w:type="dxa" w:w="3293"/>
            <w:vAlign w:val="center"/>
          </w:tcPr>
          <w:p>
            <w:pPr>
              <w:spacing w:after="40"/>
            </w:pPr>
            <w:r>
              <w:rPr>
                <w:sz w:val="16"/>
              </w:rPr>
              <w:t>F01</w:t>
            </w:r>
          </w:p>
        </w:tc>
        <w:tc>
          <w:tcPr>
            <w:tcW w:type="dxa" w:w="3293"/>
            <w:vAlign w:val="center"/>
          </w:tcPr>
          <w:p>
            <w:pPr>
              <w:spacing w:after="40"/>
            </w:pPr>
            <w:r>
              <w:rPr>
                <w:sz w:val="16"/>
              </w:rPr>
              <w:t>Warehouse hold on SHIPPED batch</w:t>
            </w:r>
          </w:p>
        </w:tc>
        <w:tc>
          <w:tcPr>
            <w:tcW w:type="dxa" w:w="3293"/>
            <w:vAlign w:val="center"/>
          </w:tcPr>
          <w:p>
            <w:pPr>
              <w:spacing w:after="40"/>
            </w:pPr>
            <w:r>
              <w:rPr>
                <w:sz w:val="16"/>
              </w:rPr>
              <w:t>Already shipped; use customer/quality escalation workflow instead.</w:t>
            </w:r>
          </w:p>
        </w:tc>
      </w:tr>
      <w:tr>
        <w:tc>
          <w:tcPr>
            <w:tcW w:type="dxa" w:w="3293"/>
            <w:vAlign w:val="center"/>
          </w:tcPr>
          <w:p>
            <w:pPr>
              <w:spacing w:after="40"/>
            </w:pPr>
            <w:r>
              <w:rPr>
                <w:sz w:val="16"/>
              </w:rPr>
              <w:t>F02</w:t>
            </w:r>
          </w:p>
        </w:tc>
        <w:tc>
          <w:tcPr>
            <w:tcW w:type="dxa" w:w="3293"/>
            <w:vAlign w:val="center"/>
          </w:tcPr>
          <w:p>
            <w:pPr>
              <w:spacing w:after="40"/>
            </w:pPr>
            <w:r>
              <w:rPr>
                <w:sz w:val="16"/>
              </w:rPr>
              <w:t>Hold-release without mandatory completed review</w:t>
            </w:r>
          </w:p>
        </w:tc>
        <w:tc>
          <w:tcPr>
            <w:tcW w:type="dxa" w:w="3293"/>
            <w:vAlign w:val="center"/>
          </w:tcPr>
          <w:p>
            <w:pPr>
              <w:spacing w:after="40"/>
            </w:pPr>
            <w:r>
              <w:rPr>
                <w:sz w:val="16"/>
              </w:rPr>
              <w:t>Mandatory quality review outstanding.</w:t>
            </w:r>
          </w:p>
        </w:tc>
      </w:tr>
      <w:tr>
        <w:tc>
          <w:tcPr>
            <w:tcW w:type="dxa" w:w="3293"/>
            <w:vAlign w:val="center"/>
          </w:tcPr>
          <w:p>
            <w:pPr>
              <w:spacing w:after="40"/>
            </w:pPr>
            <w:r>
              <w:rPr>
                <w:sz w:val="16"/>
              </w:rPr>
              <w:t>F03</w:t>
            </w:r>
          </w:p>
        </w:tc>
        <w:tc>
          <w:tcPr>
            <w:tcW w:type="dxa" w:w="3293"/>
            <w:vAlign w:val="center"/>
          </w:tcPr>
          <w:p>
            <w:pPr>
              <w:spacing w:after="40"/>
            </w:pPr>
            <w:r>
              <w:rPr>
                <w:sz w:val="16"/>
              </w:rPr>
              <w:t>Inspection requires unavailable machine, operator or equipment</w:t>
            </w:r>
          </w:p>
        </w:tc>
        <w:tc>
          <w:tcPr>
            <w:tcW w:type="dxa" w:w="3293"/>
            <w:vAlign w:val="center"/>
          </w:tcPr>
          <w:p>
            <w:pPr>
              <w:spacing w:after="40"/>
            </w:pPr>
            <w:r>
              <w:rPr>
                <w:sz w:val="16"/>
              </w:rPr>
              <w:t>Required resource unavailable in the simulated scenario.</w:t>
            </w:r>
          </w:p>
        </w:tc>
      </w:tr>
      <w:tr>
        <w:tc>
          <w:tcPr>
            <w:tcW w:type="dxa" w:w="3293"/>
            <w:vAlign w:val="center"/>
          </w:tcPr>
          <w:p>
            <w:pPr>
              <w:spacing w:after="40"/>
            </w:pPr>
            <w:r>
              <w:rPr>
                <w:sz w:val="16"/>
              </w:rPr>
              <w:t>F04</w:t>
            </w:r>
          </w:p>
        </w:tc>
        <w:tc>
          <w:tcPr>
            <w:tcW w:type="dxa" w:w="3293"/>
            <w:vAlign w:val="center"/>
          </w:tcPr>
          <w:p>
            <w:pPr>
              <w:spacing w:after="40"/>
            </w:pPr>
            <w:r>
              <w:rPr>
                <w:sz w:val="16"/>
              </w:rPr>
              <w:t>Candidate touches batch outside incident scope</w:t>
            </w:r>
          </w:p>
        </w:tc>
        <w:tc>
          <w:tcPr>
            <w:tcW w:type="dxa" w:w="3293"/>
            <w:vAlign w:val="center"/>
          </w:tcPr>
          <w:p>
            <w:pPr>
              <w:spacing w:after="40"/>
            </w:pPr>
            <w:r>
              <w:rPr>
                <w:sz w:val="16"/>
              </w:rPr>
              <w:t>No verified traceability relationship to this incident.</w:t>
            </w:r>
          </w:p>
        </w:tc>
      </w:tr>
      <w:tr>
        <w:tc>
          <w:tcPr>
            <w:tcW w:type="dxa" w:w="3293"/>
            <w:vAlign w:val="center"/>
          </w:tcPr>
          <w:p>
            <w:pPr>
              <w:spacing w:after="40"/>
            </w:pPr>
            <w:r>
              <w:rPr>
                <w:sz w:val="16"/>
              </w:rPr>
              <w:t>F05</w:t>
            </w:r>
          </w:p>
        </w:tc>
        <w:tc>
          <w:tcPr>
            <w:tcW w:type="dxa" w:w="3293"/>
            <w:vAlign w:val="center"/>
          </w:tcPr>
          <w:p>
            <w:pPr>
              <w:spacing w:after="40"/>
            </w:pPr>
            <w:r>
              <w:rPr>
                <w:sz w:val="16"/>
              </w:rPr>
              <w:t>Missing mandatory disposition or trace link</w:t>
            </w:r>
          </w:p>
        </w:tc>
        <w:tc>
          <w:tcPr>
            <w:tcW w:type="dxa" w:w="3293"/>
            <w:vAlign w:val="center"/>
          </w:tcPr>
          <w:p>
            <w:pPr>
              <w:spacing w:after="40"/>
            </w:pPr>
            <w:r>
              <w:rPr>
                <w:sz w:val="16"/>
              </w:rPr>
              <w:t>Status unknown; escalate for verification, do not assume safe.</w:t>
            </w:r>
          </w:p>
        </w:tc>
      </w:tr>
      <w:tr>
        <w:tc>
          <w:tcPr>
            <w:tcW w:type="dxa" w:w="3293"/>
            <w:vAlign w:val="center"/>
          </w:tcPr>
          <w:p>
            <w:pPr>
              <w:spacing w:after="40"/>
            </w:pPr>
            <w:r>
              <w:rPr>
                <w:sz w:val="16"/>
              </w:rPr>
              <w:t>F06</w:t>
            </w:r>
          </w:p>
        </w:tc>
        <w:tc>
          <w:tcPr>
            <w:tcW w:type="dxa" w:w="3293"/>
            <w:vAlign w:val="center"/>
          </w:tcPr>
          <w:p>
            <w:pPr>
              <w:spacing w:after="40"/>
            </w:pPr>
            <w:r>
              <w:rPr>
                <w:sz w:val="16"/>
              </w:rPr>
              <w:t>Candidate violates seeded safety/quality rule</w:t>
            </w:r>
          </w:p>
        </w:tc>
        <w:tc>
          <w:tcPr>
            <w:tcW w:type="dxa" w:w="3293"/>
            <w:vAlign w:val="center"/>
          </w:tcPr>
          <w:p>
            <w:pPr>
              <w:spacing w:after="40"/>
            </w:pPr>
            <w:r>
              <w:rPr>
                <w:sz w:val="16"/>
              </w:rPr>
              <w:t>Prohibited by mandatory quality constraint.</w:t>
            </w:r>
          </w:p>
        </w:tc>
      </w:tr>
      <w:tr>
        <w:tc>
          <w:tcPr>
            <w:tcW w:type="dxa" w:w="3293"/>
            <w:vAlign w:val="center"/>
          </w:tcPr>
          <w:p>
            <w:pPr>
              <w:spacing w:after="40"/>
            </w:pPr>
            <w:r>
              <w:rPr>
                <w:sz w:val="16"/>
              </w:rPr>
              <w:t>F07</w:t>
            </w:r>
          </w:p>
        </w:tc>
        <w:tc>
          <w:tcPr>
            <w:tcW w:type="dxa" w:w="3293"/>
            <w:vAlign w:val="center"/>
          </w:tcPr>
          <w:p>
            <w:pPr>
              <w:spacing w:after="40"/>
            </w:pPr>
            <w:r>
              <w:rPr>
                <w:sz w:val="16"/>
              </w:rPr>
              <w:t>No unresolved gap candidate could address</w:t>
            </w:r>
          </w:p>
        </w:tc>
        <w:tc>
          <w:tcPr>
            <w:tcW w:type="dxa" w:w="3293"/>
            <w:vAlign w:val="center"/>
          </w:tcPr>
          <w:p>
            <w:pPr>
              <w:spacing w:after="40"/>
            </w:pPr>
            <w:r>
              <w:rPr>
                <w:sz w:val="16"/>
              </w:rPr>
              <w:t>No current decision value; do not rank.</w:t>
            </w:r>
          </w:p>
        </w:tc>
      </w:tr>
    </w:tbl>
    <w:p>
      <w:r>
        <w:t>Safety guardrail: Mandatory holds/escalations remain requirements regardless of the optimizer score. A high rank does not authorize execution. Shipped inventory may be inspected or investigated when supported but cannot receive an ordinary on-site hold. Always return excluded_candidates [{check_id, rule_ids, human_reason}].</w:t>
      </w:r>
    </w:p>
    <w:p>
      <w:pPr>
        <w:pStyle w:val="Heading1"/>
      </w:pPr>
      <w:r>
        <w:t>6  Evidence updates — real state transition</w:t>
      </w:r>
    </w:p>
    <w:p>
      <w:r>
        <w:t>POST evidence must write a validated EvidenceRecord tied to incident_id, check_id, batch_id (when applicable), result enum, captured_at, actor and version. Database transaction writes evidence, increments incident version, recomputes derived unresolved gaps and candidate rankings, then records an audit event. On refresh, GET returns the same revised version and derived result. Never hardcode a frontend rank change.</w:t>
      </w:r>
    </w:p>
    <w:p>
      <w:r>
        <w:t>Allowed synthetic result enums: PASS, FAIL, INCONCLUSIVE, NOT_PERFORMED. PASS resolves only the specific inspection evidence gap; it does not establish that all batches are safe. FAIL may create a new mandatory quality-review gap / restriction; INCONCLUSIVE preserves the unresolved gap. Reject duplicate submissions unless explicitly versioned as superseding results.</w:t>
      </w:r>
    </w:p>
    <w:p>
      <w:r>
        <w:t>Demonstration fixture must prove one well-defined causal transition: resolving gap G-02 removes its contribution to checks C-01/C-02, reducing their coverage; a new G-04 quality-review gap from FAIL changes feasibility or order. Include a second result in which rank does not change when no decision-relevant gap was resolved.</w:t>
      </w:r>
    </w:p>
    <w:p>
      <w:pPr>
        <w:pStyle w:val="Heading1"/>
      </w:pPr>
      <w:r>
        <w:t>7  Authorization and audit</w:t>
      </w:r>
    </w:p>
    <w:p>
      <w:r>
        <w:t>Preferred: use Firebase Authentication or another real authentication provider. Backend validates token signature, issuer, audience, expiry; maps identity to a persisted role (OPERATOR, QUALITY_MANAGER, ADMIN) and enforces approval permission server-side. Client-supplied approved_by or role fields are ignored.</w:t>
      </w:r>
    </w:p>
    <w:p>
      <w:r>
        <w:t>Time-box fallback: if real authentication cannot be finished, have a visibly labeled SIMULATED APPROVAL flow, not a security claim. Simulated approval logs simulated_actor and simulation=true; it must not be described as server-enforced RBAC.</w:t>
      </w:r>
    </w:p>
    <w:p>
      <w:r>
        <w:t>POST approval checks current incident version, rule eligibility, and actor role; returns 403 for wrong role and 409 for stale version. Store timestamp in UTC, actor ID, role, action ID, previous/new state, input evidence IDs, justification and immutable sequential event ID. “Audit record” describes append-only application behavior, not regulatory-grade tamper resistance.</w:t>
      </w:r>
    </w:p>
    <w:p>
      <w:pPr>
        <w:pStyle w:val="Heading1"/>
      </w:pPr>
      <w:r>
        <w:t>8  API contract v1 (agree before implementation)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Method / path</w:t>
            </w:r>
          </w:p>
        </w:tc>
        <w:tc>
          <w:tcPr>
            <w:tcW w:type="dxa" w:w="3293"/>
            <w:vAlign w:val="center"/>
          </w:tcPr>
          <w:p>
            <w:pPr>
              <w:spacing w:after="40"/>
            </w:pPr>
            <w:r>
              <w:rPr>
                <w:sz w:val="16"/>
              </w:rPr>
              <w:t>Request</w:t>
            </w:r>
          </w:p>
        </w:tc>
        <w:tc>
          <w:tcPr>
            <w:tcW w:type="dxa" w:w="3293"/>
            <w:vAlign w:val="center"/>
          </w:tcPr>
          <w:p>
            <w:pPr>
              <w:spacing w:after="40"/>
            </w:pPr>
            <w:r>
              <w:rPr>
                <w:sz w:val="16"/>
              </w:rPr>
              <w:t>Response / behavior</w:t>
            </w:r>
          </w:p>
        </w:tc>
      </w:tr>
      <w:tr>
        <w:tc>
          <w:tcPr>
            <w:tcW w:type="dxa" w:w="3293"/>
            <w:vAlign w:val="center"/>
          </w:tcPr>
          <w:p>
            <w:pPr>
              <w:spacing w:after="40"/>
            </w:pPr>
            <w:r>
              <w:rPr>
                <w:sz w:val="16"/>
              </w:rPr>
              <w:t>GET /api/incidents/{id}</w:t>
            </w:r>
          </w:p>
        </w:tc>
        <w:tc>
          <w:tcPr>
            <w:tcW w:type="dxa" w:w="3293"/>
            <w:vAlign w:val="center"/>
          </w:tcPr>
          <w:p>
            <w:pPr>
              <w:spacing w:after="40"/>
            </w:pPr>
            <w:r>
              <w:rPr>
                <w:sz w:val="16"/>
              </w:rPr>
              <w:t>—</w:t>
            </w:r>
          </w:p>
        </w:tc>
        <w:tc>
          <w:tcPr>
            <w:tcW w:type="dxa" w:w="3293"/>
            <w:vAlign w:val="center"/>
          </w:tcPr>
          <w:p>
            <w:pPr>
              <w:spacing w:after="40"/>
            </w:pPr>
            <w:r>
              <w:rPr>
                <w:sz w:val="16"/>
              </w:rPr>
              <w:t>Incident summary, current version, sensor provenance</w:t>
            </w:r>
          </w:p>
        </w:tc>
      </w:tr>
      <w:tr>
        <w:tc>
          <w:tcPr>
            <w:tcW w:type="dxa" w:w="3293"/>
            <w:vAlign w:val="center"/>
          </w:tcPr>
          <w:p>
            <w:pPr>
              <w:spacing w:after="40"/>
            </w:pPr>
            <w:r>
              <w:rPr>
                <w:sz w:val="16"/>
              </w:rPr>
              <w:t>GET /api/incidents/{id}/thread</w:t>
            </w:r>
          </w:p>
        </w:tc>
        <w:tc>
          <w:tcPr>
            <w:tcW w:type="dxa" w:w="3293"/>
            <w:vAlign w:val="center"/>
          </w:tcPr>
          <w:p>
            <w:pPr>
              <w:spacing w:after="40"/>
            </w:pPr>
            <w:r>
              <w:rPr>
                <w:sz w:val="16"/>
              </w:rPr>
              <w:t>—</w:t>
            </w:r>
          </w:p>
        </w:tc>
        <w:tc>
          <w:tcPr>
            <w:tcW w:type="dxa" w:w="3293"/>
            <w:vAlign w:val="center"/>
          </w:tcPr>
          <w:p>
            <w:pPr>
              <w:spacing w:after="40"/>
            </w:pPr>
            <w:r>
              <w:rPr>
                <w:sz w:val="16"/>
              </w:rPr>
              <w:t>Typed nodes/edges, unknown relationships, shipments</w:t>
            </w:r>
          </w:p>
        </w:tc>
      </w:tr>
      <w:tr>
        <w:tc>
          <w:tcPr>
            <w:tcW w:type="dxa" w:w="3293"/>
            <w:vAlign w:val="center"/>
          </w:tcPr>
          <w:p>
            <w:pPr>
              <w:spacing w:after="40"/>
            </w:pPr>
            <w:r>
              <w:rPr>
                <w:sz w:val="16"/>
              </w:rPr>
              <w:t>GET /api/incidents/{id}/plan</w:t>
            </w:r>
          </w:p>
        </w:tc>
        <w:tc>
          <w:tcPr>
            <w:tcW w:type="dxa" w:w="3293"/>
            <w:vAlign w:val="center"/>
          </w:tcPr>
          <w:p>
            <w:pPr>
              <w:spacing w:after="40"/>
            </w:pPr>
            <w:r>
              <w:rPr>
                <w:sz w:val="16"/>
              </w:rPr>
              <w:t>—</w:t>
            </w:r>
          </w:p>
        </w:tc>
        <w:tc>
          <w:tcPr>
            <w:tcW w:type="dxa" w:w="3293"/>
            <w:vAlign w:val="center"/>
          </w:tcPr>
          <w:p>
            <w:pPr>
              <w:spacing w:after="40"/>
            </w:pPr>
            <w:r>
              <w:rPr>
                <w:sz w:val="16"/>
              </w:rPr>
              <w:t>Unresolved gaps, ranked candidates, factors, excluded candidates, version</w:t>
            </w:r>
          </w:p>
        </w:tc>
      </w:tr>
      <w:tr>
        <w:tc>
          <w:tcPr>
            <w:tcW w:type="dxa" w:w="3293"/>
            <w:vAlign w:val="center"/>
          </w:tcPr>
          <w:p>
            <w:pPr>
              <w:spacing w:after="40"/>
            </w:pPr>
            <w:r>
              <w:rPr>
                <w:sz w:val="16"/>
              </w:rPr>
              <w:t>POST /api/incidents/{id}/evidence</w:t>
            </w:r>
          </w:p>
        </w:tc>
        <w:tc>
          <w:tcPr>
            <w:tcW w:type="dxa" w:w="3293"/>
            <w:vAlign w:val="center"/>
          </w:tcPr>
          <w:p>
            <w:pPr>
              <w:spacing w:after="40"/>
            </w:pPr>
            <w:r>
              <w:rPr>
                <w:sz w:val="16"/>
              </w:rPr>
              <w:t>{check_id, result, batch_id?, expected_version}</w:t>
            </w:r>
          </w:p>
        </w:tc>
        <w:tc>
          <w:tcPr>
            <w:tcW w:type="dxa" w:w="3293"/>
            <w:vAlign w:val="center"/>
          </w:tcPr>
          <w:p>
            <w:pPr>
              <w:spacing w:after="40"/>
            </w:pPr>
            <w:r>
              <w:rPr>
                <w:sz w:val="16"/>
              </w:rPr>
              <w:t>Persists evidence; 409 on stale version; returns refreshed plan</w:t>
            </w:r>
          </w:p>
        </w:tc>
      </w:tr>
      <w:tr>
        <w:tc>
          <w:tcPr>
            <w:tcW w:type="dxa" w:w="3293"/>
            <w:vAlign w:val="center"/>
          </w:tcPr>
          <w:p>
            <w:pPr>
              <w:spacing w:after="40"/>
            </w:pPr>
            <w:r>
              <w:rPr>
                <w:sz w:val="16"/>
              </w:rPr>
              <w:t>POST /api/incidents/{id}/explain</w:t>
            </w:r>
          </w:p>
        </w:tc>
        <w:tc>
          <w:tcPr>
            <w:tcW w:type="dxa" w:w="3293"/>
            <w:vAlign w:val="center"/>
          </w:tcPr>
          <w:p>
            <w:pPr>
              <w:spacing w:after="40"/>
            </w:pPr>
            <w:r>
              <w:rPr>
                <w:sz w:val="16"/>
              </w:rPr>
              <w:t>{expected_version}</w:t>
            </w:r>
          </w:p>
        </w:tc>
        <w:tc>
          <w:tcPr>
            <w:tcW w:type="dxa" w:w="3293"/>
            <w:vAlign w:val="center"/>
          </w:tcPr>
          <w:p>
            <w:pPr>
              <w:spacing w:after="40"/>
            </w:pPr>
            <w:r>
              <w:rPr>
                <w:sz w:val="16"/>
              </w:rPr>
              <w:t>Grounded explanation, cited record IDs, limitations; fallback if unavailable</w:t>
            </w:r>
          </w:p>
        </w:tc>
      </w:tr>
      <w:tr>
        <w:tc>
          <w:tcPr>
            <w:tcW w:type="dxa" w:w="3293"/>
            <w:vAlign w:val="center"/>
          </w:tcPr>
          <w:p>
            <w:pPr>
              <w:spacing w:after="40"/>
            </w:pPr>
            <w:r>
              <w:rPr>
                <w:sz w:val="16"/>
              </w:rPr>
              <w:t>POST /api/incidents/{id}/approve</w:t>
            </w:r>
          </w:p>
        </w:tc>
        <w:tc>
          <w:tcPr>
            <w:tcW w:type="dxa" w:w="3293"/>
            <w:vAlign w:val="center"/>
          </w:tcPr>
          <w:p>
            <w:pPr>
              <w:spacing w:after="40"/>
            </w:pPr>
            <w:r>
              <w:rPr>
                <w:sz w:val="16"/>
              </w:rPr>
              <w:t>{action_id, expected_version, justification}</w:t>
            </w:r>
          </w:p>
        </w:tc>
        <w:tc>
          <w:tcPr>
            <w:tcW w:type="dxa" w:w="3293"/>
            <w:vAlign w:val="center"/>
          </w:tcPr>
          <w:p>
            <w:pPr>
              <w:spacing w:after="40"/>
            </w:pPr>
            <w:r>
              <w:rPr>
                <w:sz w:val="16"/>
              </w:rPr>
              <w:t>Authorized decision / simulated decision; audit event</w:t>
            </w:r>
          </w:p>
        </w:tc>
      </w:tr>
      <w:tr>
        <w:tc>
          <w:tcPr>
            <w:tcW w:type="dxa" w:w="3293"/>
            <w:vAlign w:val="center"/>
          </w:tcPr>
          <w:p>
            <w:pPr>
              <w:spacing w:after="40"/>
            </w:pPr>
            <w:r>
              <w:rPr>
                <w:sz w:val="16"/>
              </w:rPr>
              <w:t>GET /api/incidents/{id}/audit</w:t>
            </w:r>
          </w:p>
        </w:tc>
        <w:tc>
          <w:tcPr>
            <w:tcW w:type="dxa" w:w="3293"/>
            <w:vAlign w:val="center"/>
          </w:tcPr>
          <w:p>
            <w:pPr>
              <w:spacing w:after="40"/>
            </w:pPr>
            <w:r>
              <w:rPr>
                <w:sz w:val="16"/>
              </w:rPr>
              <w:t>—</w:t>
            </w:r>
          </w:p>
        </w:tc>
        <w:tc>
          <w:tcPr>
            <w:tcW w:type="dxa" w:w="3293"/>
            <w:vAlign w:val="center"/>
          </w:tcPr>
          <w:p>
            <w:pPr>
              <w:spacing w:after="40"/>
            </w:pPr>
            <w:r>
              <w:rPr>
                <w:sz w:val="16"/>
              </w:rPr>
              <w:t>Event timeline with actor, action, state version, evidence refs</w:t>
            </w:r>
          </w:p>
        </w:tc>
      </w:tr>
      <w:tr>
        <w:tc>
          <w:tcPr>
            <w:tcW w:type="dxa" w:w="3293"/>
            <w:vAlign w:val="center"/>
          </w:tcPr>
          <w:p>
            <w:pPr>
              <w:spacing w:after="40"/>
            </w:pPr>
            <w:r>
              <w:rPr>
                <w:sz w:val="16"/>
              </w:rPr>
              <w:t>GET /healthz</w:t>
            </w:r>
          </w:p>
        </w:tc>
        <w:tc>
          <w:tcPr>
            <w:tcW w:type="dxa" w:w="3293"/>
            <w:vAlign w:val="center"/>
          </w:tcPr>
          <w:p>
            <w:pPr>
              <w:spacing w:after="40"/>
            </w:pPr>
            <w:r>
              <w:rPr>
                <w:sz w:val="16"/>
              </w:rPr>
              <w:t>—</w:t>
            </w:r>
          </w:p>
        </w:tc>
        <w:tc>
          <w:tcPr>
            <w:tcW w:type="dxa" w:w="3293"/>
            <w:vAlign w:val="center"/>
          </w:tcPr>
          <w:p>
            <w:pPr>
              <w:spacing w:after="40"/>
            </w:pPr>
            <w:r>
              <w:rPr>
                <w:sz w:val="16"/>
              </w:rPr>
              <w:t>Healthy status; no secrets</w:t>
            </w:r>
          </w:p>
        </w:tc>
      </w:tr>
    </w:tbl>
    <w:p>
      <w:r>
        <w:t>JSON standards: stable IDs, ISO-8601 UTC timestamps, snake_case fields, strict enums, structured {code,message,details} errors, validation failures 422, forbidden 403, stale version 409. OpenAPI generated from backend is canonical. UI and AI consume committed fixture JSON on day one.</w:t>
      </w:r>
    </w:p>
    <w:p>
      <w:pPr>
        <w:pStyle w:val="Heading1"/>
      </w:pPr>
      <w:r>
        <w:t>9  Gemini contract and evaluation</w:t>
      </w:r>
    </w:p>
    <w:p>
      <w:r>
        <w:t>Input must contain incident ID, explicit record IDs, verified graph facts, eligible/excluded actions, score factor breakdown, unresolved gaps, data limitations and an “evidence version”. Never send API secrets, irrelevant personal information or invented sensor measurements.</w:t>
      </w:r>
    </w:p>
    <w:p>
      <w:r>
        <w:t>Required structured output: {summary, verified_facts:[{claim,record_ids}], hypotheses:[{claim,uncertainty}], missing_evidence:[{gap_id,why_it_matters}], recommendation_rationale, limitations}. Every record_id / gap_id must match the input payload; reject or strip unsupported claims. Any action suggestion must match the backend eligible set; frontend displays backend ranking as authoritative.</w:t>
      </w:r>
    </w:p>
    <w:p>
      <w:r>
        <w:t>Minimum adversarial tests: unknown batch hallucination, causal assertion without proof, fabricated probability, “ship without review” suggestion, malformed JSON, model timeout. Failure behavior: deterministic plan remains usable and explanation panel says AI explanation unavailable.</w:t>
      </w:r>
    </w:p>
    <w:p>
      <w:pPr>
        <w:pStyle w:val="Heading1"/>
      </w:pPr>
      <w:r>
        <w:t>10  Team ownership &amp; parallel work</w:t>
      </w:r>
    </w:p>
    <w:tbl>
      <w:tblPr>
        <w:tblStyle w:val="LightShading-Accent1"/>
        <w:tblW w:type="auto" w:w="0"/>
        <w:jc w:val="center"/>
        <w:tblLook w:firstColumn="1" w:firstRow="1" w:lastColumn="0" w:lastRow="0" w:noHBand="0" w:noVBand="1" w:val="04A0"/>
      </w:tblPr>
      <w:tblGrid>
        <w:gridCol w:w="1976"/>
        <w:gridCol w:w="1976"/>
        <w:gridCol w:w="1976"/>
        <w:gridCol w:w="1976"/>
        <w:gridCol w:w="1976"/>
      </w:tblGrid>
      <w:tr>
        <w:tc>
          <w:tcPr>
            <w:tcW w:type="dxa" w:w="1976"/>
            <w:vAlign w:val="center"/>
          </w:tcPr>
          <w:p>
            <w:pPr>
              <w:spacing w:after="40"/>
            </w:pPr>
            <w:r>
              <w:rPr>
                <w:sz w:val="16"/>
              </w:rPr>
              <w:t>Owner</w:t>
            </w:r>
          </w:p>
        </w:tc>
        <w:tc>
          <w:tcPr>
            <w:tcW w:type="dxa" w:w="1976"/>
            <w:vAlign w:val="center"/>
          </w:tcPr>
          <w:p>
            <w:pPr>
              <w:spacing w:after="40"/>
            </w:pPr>
            <w:r>
              <w:rPr>
                <w:sz w:val="16"/>
              </w:rPr>
              <w:t>Today, 15 Oct</w:t>
            </w:r>
          </w:p>
        </w:tc>
        <w:tc>
          <w:tcPr>
            <w:tcW w:type="dxa" w:w="1976"/>
            <w:vAlign w:val="center"/>
          </w:tcPr>
          <w:p>
            <w:pPr>
              <w:spacing w:after="40"/>
            </w:pPr>
            <w:r>
              <w:rPr>
                <w:sz w:val="16"/>
              </w:rPr>
              <w:t>16 Oct</w:t>
            </w:r>
          </w:p>
        </w:tc>
        <w:tc>
          <w:tcPr>
            <w:tcW w:type="dxa" w:w="1976"/>
            <w:vAlign w:val="center"/>
          </w:tcPr>
          <w:p>
            <w:pPr>
              <w:spacing w:after="40"/>
            </w:pPr>
            <w:r>
              <w:rPr>
                <w:sz w:val="16"/>
              </w:rPr>
              <w:t>17 Oct</w:t>
            </w:r>
          </w:p>
        </w:tc>
        <w:tc>
          <w:tcPr>
            <w:tcW w:type="dxa" w:w="1976"/>
            <w:vAlign w:val="center"/>
          </w:tcPr>
          <w:p>
            <w:pPr>
              <w:spacing w:after="40"/>
            </w:pPr>
            <w:r>
              <w:rPr>
                <w:sz w:val="16"/>
              </w:rPr>
              <w:t>18 Oct</w:t>
            </w:r>
          </w:p>
        </w:tc>
      </w:tr>
      <w:tr>
        <w:tc>
          <w:tcPr>
            <w:tcW w:type="dxa" w:w="1976"/>
            <w:vAlign w:val="center"/>
          </w:tcPr>
          <w:p>
            <w:pPr>
              <w:spacing w:after="40"/>
            </w:pPr>
            <w:r>
              <w:rPr>
                <w:sz w:val="16"/>
              </w:rPr>
              <w:t>You + Codex (backend)</w:t>
            </w:r>
          </w:p>
        </w:tc>
        <w:tc>
          <w:tcPr>
            <w:tcW w:type="dxa" w:w="1976"/>
            <w:vAlign w:val="center"/>
          </w:tcPr>
          <w:p>
            <w:pPr>
              <w:spacing w:after="40"/>
            </w:pPr>
            <w:r>
              <w:rPr>
                <w:sz w:val="16"/>
              </w:rPr>
              <w:t>Freeze seed schema, APIs, graph &amp; ranking tests</w:t>
            </w:r>
          </w:p>
        </w:tc>
        <w:tc>
          <w:tcPr>
            <w:tcW w:type="dxa" w:w="1976"/>
            <w:vAlign w:val="center"/>
          </w:tcPr>
          <w:p>
            <w:pPr>
              <w:spacing w:after="40"/>
            </w:pPr>
            <w:r>
              <w:rPr>
                <w:sz w:val="16"/>
              </w:rPr>
              <w:t>Evidence transitions, feasibility, approval &amp; persistence</w:t>
            </w:r>
          </w:p>
        </w:tc>
        <w:tc>
          <w:tcPr>
            <w:tcW w:type="dxa" w:w="1976"/>
            <w:vAlign w:val="center"/>
          </w:tcPr>
          <w:p>
            <w:pPr>
              <w:spacing w:after="40"/>
            </w:pPr>
            <w:r>
              <w:rPr>
                <w:sz w:val="16"/>
              </w:rPr>
              <w:t>Deploy + baseline tests + fixes</w:t>
            </w:r>
          </w:p>
        </w:tc>
        <w:tc>
          <w:tcPr>
            <w:tcW w:type="dxa" w:w="1976"/>
            <w:vAlign w:val="center"/>
          </w:tcPr>
          <w:p>
            <w:pPr>
              <w:spacing w:after="40"/>
            </w:pPr>
            <w:r>
              <w:rPr>
                <w:sz w:val="16"/>
              </w:rPr>
              <w:t>Final regression, submission freeze</w:t>
            </w:r>
          </w:p>
        </w:tc>
      </w:tr>
      <w:tr>
        <w:tc>
          <w:tcPr>
            <w:tcW w:type="dxa" w:w="1976"/>
            <w:vAlign w:val="center"/>
          </w:tcPr>
          <w:p>
            <w:pPr>
              <w:spacing w:after="40"/>
            </w:pPr>
            <w:r>
              <w:rPr>
                <w:sz w:val="16"/>
              </w:rPr>
              <w:t>You + Claude (frontend)</w:t>
            </w:r>
          </w:p>
        </w:tc>
        <w:tc>
          <w:tcPr>
            <w:tcW w:type="dxa" w:w="1976"/>
            <w:vAlign w:val="center"/>
          </w:tcPr>
          <w:p>
            <w:pPr>
              <w:spacing w:after="40"/>
            </w:pPr>
            <w:r>
              <w:rPr>
                <w:sz w:val="16"/>
              </w:rPr>
              <w:t>API-driven dashboard skeleton, fixtures</w:t>
            </w:r>
          </w:p>
        </w:tc>
        <w:tc>
          <w:tcPr>
            <w:tcW w:type="dxa" w:w="1976"/>
            <w:vAlign w:val="center"/>
          </w:tcPr>
          <w:p>
            <w:pPr>
              <w:spacing w:after="40"/>
            </w:pPr>
            <w:r>
              <w:rPr>
                <w:sz w:val="16"/>
              </w:rPr>
              <w:t>Graph, rank breakdown, rejected-action UI</w:t>
            </w:r>
          </w:p>
        </w:tc>
        <w:tc>
          <w:tcPr>
            <w:tcW w:type="dxa" w:w="1976"/>
            <w:vAlign w:val="center"/>
          </w:tcPr>
          <w:p>
            <w:pPr>
              <w:spacing w:after="40"/>
            </w:pPr>
            <w:r>
              <w:rPr>
                <w:sz w:val="16"/>
              </w:rPr>
              <w:t>Evidence entry + approval + polished journey</w:t>
            </w:r>
          </w:p>
        </w:tc>
        <w:tc>
          <w:tcPr>
            <w:tcW w:type="dxa" w:w="1976"/>
            <w:vAlign w:val="center"/>
          </w:tcPr>
          <w:p>
            <w:pPr>
              <w:spacing w:after="40"/>
            </w:pPr>
            <w:r>
              <w:rPr>
                <w:sz w:val="16"/>
              </w:rPr>
              <w:t>Demo capture and accessibility QA</w:t>
            </w:r>
          </w:p>
        </w:tc>
      </w:tr>
      <w:tr>
        <w:tc>
          <w:tcPr>
            <w:tcW w:type="dxa" w:w="1976"/>
            <w:vAlign w:val="center"/>
          </w:tcPr>
          <w:p>
            <w:pPr>
              <w:spacing w:after="40"/>
            </w:pPr>
            <w:r>
              <w:rPr>
                <w:sz w:val="16"/>
              </w:rPr>
              <w:t>Friend + Gemini</w:t>
            </w:r>
          </w:p>
        </w:tc>
        <w:tc>
          <w:tcPr>
            <w:tcW w:type="dxa" w:w="1976"/>
            <w:vAlign w:val="center"/>
          </w:tcPr>
          <w:p>
            <w:pPr>
              <w:spacing w:after="40"/>
            </w:pPr>
            <w:r>
              <w:rPr>
                <w:sz w:val="16"/>
              </w:rPr>
              <w:t>Grounding schema, example curated payload, evaluation cases</w:t>
            </w:r>
          </w:p>
        </w:tc>
        <w:tc>
          <w:tcPr>
            <w:tcW w:type="dxa" w:w="1976"/>
            <w:vAlign w:val="center"/>
          </w:tcPr>
          <w:p>
            <w:pPr>
              <w:spacing w:after="40"/>
            </w:pPr>
            <w:r>
              <w:rPr>
                <w:sz w:val="16"/>
              </w:rPr>
              <w:t>Real Gemini integration + validation + fallback</w:t>
            </w:r>
          </w:p>
        </w:tc>
        <w:tc>
          <w:tcPr>
            <w:tcW w:type="dxa" w:w="1976"/>
            <w:vAlign w:val="center"/>
          </w:tcPr>
          <w:p>
            <w:pPr>
              <w:spacing w:after="40"/>
            </w:pPr>
            <w:r>
              <w:rPr>
                <w:sz w:val="16"/>
              </w:rPr>
              <w:t>Run adversarial tests; fix unsupported claims</w:t>
            </w:r>
          </w:p>
        </w:tc>
        <w:tc>
          <w:tcPr>
            <w:tcW w:type="dxa" w:w="1976"/>
            <w:vAlign w:val="center"/>
          </w:tcPr>
          <w:p>
            <w:pPr>
              <w:spacing w:after="40"/>
            </w:pPr>
            <w:r>
              <w:rPr>
                <w:sz w:val="16"/>
              </w:rPr>
              <w:t>Help video/deck factual review</w:t>
            </w:r>
          </w:p>
        </w:tc>
      </w:tr>
    </w:tbl>
    <w:p>
      <w:r>
        <w:t>Daily handshake: 15 Oct end of day = frozen fixture JSON/OpenAPI; 16 Oct = evidence POST end to end; 17 Oct = live URL complete; 18 Oct = no features, only bug fixes and submission. Your friend owns AI module code and evaluation; you own final integration even though you operate both Codex and Claude. Merge small working vertical slices; one person owns each module.</w:t>
      </w:r>
    </w:p>
    <w:p>
      <w:pPr>
        <w:pStyle w:val="Heading1"/>
      </w:pPr>
      <w:r>
        <w:t>11  Reproducible tests and scorecard</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Test</w:t>
            </w:r>
          </w:p>
        </w:tc>
        <w:tc>
          <w:tcPr>
            <w:tcW w:type="dxa" w:w="3293"/>
            <w:vAlign w:val="center"/>
          </w:tcPr>
          <w:p>
            <w:pPr>
              <w:spacing w:after="40"/>
            </w:pPr>
            <w:r>
              <w:rPr>
                <w:sz w:val="16"/>
              </w:rPr>
              <w:t>Pass criterion</w:t>
            </w:r>
          </w:p>
        </w:tc>
        <w:tc>
          <w:tcPr>
            <w:tcW w:type="dxa" w:w="3293"/>
            <w:vAlign w:val="center"/>
          </w:tcPr>
          <w:p>
            <w:pPr>
              <w:spacing w:after="40"/>
            </w:pPr>
            <w:r>
              <w:rPr>
                <w:sz w:val="16"/>
              </w:rPr>
              <w:t>Proof</w:t>
            </w:r>
          </w:p>
        </w:tc>
      </w:tr>
      <w:tr>
        <w:tc>
          <w:tcPr>
            <w:tcW w:type="dxa" w:w="3293"/>
            <w:vAlign w:val="center"/>
          </w:tcPr>
          <w:p>
            <w:pPr>
              <w:spacing w:after="40"/>
            </w:pPr>
            <w:r>
              <w:rPr>
                <w:sz w:val="16"/>
              </w:rPr>
              <w:t>T01 Traceability</w:t>
            </w:r>
          </w:p>
        </w:tc>
        <w:tc>
          <w:tcPr>
            <w:tcW w:type="dxa" w:w="3293"/>
            <w:vAlign w:val="center"/>
          </w:tcPr>
          <w:p>
            <w:pPr>
              <w:spacing w:after="40"/>
            </w:pPr>
            <w:r>
              <w:rPr>
                <w:sz w:val="16"/>
              </w:rPr>
              <w:t>M-04 time window returns exactly seeded expected batch/order IDs; excludes out-of-window batches</w:t>
            </w:r>
          </w:p>
        </w:tc>
        <w:tc>
          <w:tcPr>
            <w:tcW w:type="dxa" w:w="3293"/>
            <w:vAlign w:val="center"/>
          </w:tcPr>
          <w:p>
            <w:pPr>
              <w:spacing w:after="40"/>
            </w:pPr>
            <w:r>
              <w:rPr>
                <w:sz w:val="16"/>
              </w:rPr>
              <w:t>Unit test + UI</w:t>
            </w:r>
          </w:p>
        </w:tc>
      </w:tr>
      <w:tr>
        <w:tc>
          <w:tcPr>
            <w:tcW w:type="dxa" w:w="3293"/>
            <w:vAlign w:val="center"/>
          </w:tcPr>
          <w:p>
            <w:pPr>
              <w:spacing w:after="40"/>
            </w:pPr>
            <w:r>
              <w:rPr>
                <w:sz w:val="16"/>
              </w:rPr>
              <w:t>T02 Eligibility</w:t>
            </w:r>
          </w:p>
        </w:tc>
        <w:tc>
          <w:tcPr>
            <w:tcW w:type="dxa" w:w="3293"/>
            <w:vAlign w:val="center"/>
          </w:tcPr>
          <w:p>
            <w:pPr>
              <w:spacing w:after="40"/>
            </w:pPr>
            <w:r>
              <w:rPr>
                <w:sz w:val="16"/>
              </w:rPr>
              <w:t>Shipped batch hold excluded with F01; mandatory review cannot be bypassed</w:t>
            </w:r>
          </w:p>
        </w:tc>
        <w:tc>
          <w:tcPr>
            <w:tcW w:type="dxa" w:w="3293"/>
            <w:vAlign w:val="center"/>
          </w:tcPr>
          <w:p>
            <w:pPr>
              <w:spacing w:after="40"/>
            </w:pPr>
            <w:r>
              <w:rPr>
                <w:sz w:val="16"/>
              </w:rPr>
              <w:t>Rule test + excluded display</w:t>
            </w:r>
          </w:p>
        </w:tc>
      </w:tr>
      <w:tr>
        <w:tc>
          <w:tcPr>
            <w:tcW w:type="dxa" w:w="3293"/>
            <w:vAlign w:val="center"/>
          </w:tcPr>
          <w:p>
            <w:pPr>
              <w:spacing w:after="40"/>
            </w:pPr>
            <w:r>
              <w:rPr>
                <w:sz w:val="16"/>
              </w:rPr>
              <w:t>T03 Ranking</w:t>
            </w:r>
          </w:p>
        </w:tc>
        <w:tc>
          <w:tcPr>
            <w:tcW w:type="dxa" w:w="3293"/>
            <w:vAlign w:val="center"/>
          </w:tcPr>
          <w:p>
            <w:pPr>
              <w:spacing w:after="40"/>
            </w:pPr>
            <w:r>
              <w:rPr>
                <w:sz w:val="16"/>
              </w:rPr>
              <w:t>Formula and tie-break reproduce expected score; inputs returned in API</w:t>
            </w:r>
          </w:p>
        </w:tc>
        <w:tc>
          <w:tcPr>
            <w:tcW w:type="dxa" w:w="3293"/>
            <w:vAlign w:val="center"/>
          </w:tcPr>
          <w:p>
            <w:pPr>
              <w:spacing w:after="40"/>
            </w:pPr>
            <w:r>
              <w:rPr>
                <w:sz w:val="16"/>
              </w:rPr>
              <w:t>Unit test</w:t>
            </w:r>
          </w:p>
        </w:tc>
      </w:tr>
      <w:tr>
        <w:tc>
          <w:tcPr>
            <w:tcW w:type="dxa" w:w="3293"/>
            <w:vAlign w:val="center"/>
          </w:tcPr>
          <w:p>
            <w:pPr>
              <w:spacing w:after="40"/>
            </w:pPr>
            <w:r>
              <w:rPr>
                <w:sz w:val="16"/>
              </w:rPr>
              <w:t>T04 Re-ranking</w:t>
            </w:r>
          </w:p>
        </w:tc>
        <w:tc>
          <w:tcPr>
            <w:tcW w:type="dxa" w:w="3293"/>
            <w:vAlign w:val="center"/>
          </w:tcPr>
          <w:p>
            <w:pPr>
              <w:spacing w:after="40"/>
            </w:pPr>
            <w:r>
              <w:rPr>
                <w:sz w:val="16"/>
              </w:rPr>
              <w:t>PASS/FAIL updates persisted gaps and ranking on reload; no hardcoded UI state</w:t>
            </w:r>
          </w:p>
        </w:tc>
        <w:tc>
          <w:tcPr>
            <w:tcW w:type="dxa" w:w="3293"/>
            <w:vAlign w:val="center"/>
          </w:tcPr>
          <w:p>
            <w:pPr>
              <w:spacing w:after="40"/>
            </w:pPr>
            <w:r>
              <w:rPr>
                <w:sz w:val="16"/>
              </w:rPr>
              <w:t>API integration test + demo</w:t>
            </w:r>
          </w:p>
        </w:tc>
      </w:tr>
      <w:tr>
        <w:tc>
          <w:tcPr>
            <w:tcW w:type="dxa" w:w="3293"/>
            <w:vAlign w:val="center"/>
          </w:tcPr>
          <w:p>
            <w:pPr>
              <w:spacing w:after="40"/>
            </w:pPr>
            <w:r>
              <w:rPr>
                <w:sz w:val="16"/>
              </w:rPr>
              <w:t>T05 Governance</w:t>
            </w:r>
          </w:p>
        </w:tc>
        <w:tc>
          <w:tcPr>
            <w:tcW w:type="dxa" w:w="3293"/>
            <w:vAlign w:val="center"/>
          </w:tcPr>
          <w:p>
            <w:pPr>
              <w:spacing w:after="40"/>
            </w:pPr>
            <w:r>
              <w:rPr>
                <w:sz w:val="16"/>
              </w:rPr>
              <w:t>Unauthorized approval =403; stale version=409; approved event persists</w:t>
            </w:r>
          </w:p>
        </w:tc>
        <w:tc>
          <w:tcPr>
            <w:tcW w:type="dxa" w:w="3293"/>
            <w:vAlign w:val="center"/>
          </w:tcPr>
          <w:p>
            <w:pPr>
              <w:spacing w:after="40"/>
            </w:pPr>
            <w:r>
              <w:rPr>
                <w:sz w:val="16"/>
              </w:rPr>
              <w:t>Backend integration test</w:t>
            </w:r>
          </w:p>
        </w:tc>
      </w:tr>
      <w:tr>
        <w:tc>
          <w:tcPr>
            <w:tcW w:type="dxa" w:w="3293"/>
            <w:vAlign w:val="center"/>
          </w:tcPr>
          <w:p>
            <w:pPr>
              <w:spacing w:after="40"/>
            </w:pPr>
            <w:r>
              <w:rPr>
                <w:sz w:val="16"/>
              </w:rPr>
              <w:t>T06 Grounding</w:t>
            </w:r>
          </w:p>
        </w:tc>
        <w:tc>
          <w:tcPr>
            <w:tcW w:type="dxa" w:w="3293"/>
            <w:vAlign w:val="center"/>
          </w:tcPr>
          <w:p>
            <w:pPr>
              <w:spacing w:after="40"/>
            </w:pPr>
            <w:r>
              <w:rPr>
                <w:sz w:val="16"/>
              </w:rPr>
              <w:t>AI never returns unknown record IDs; no unsupported risk probability</w:t>
            </w:r>
          </w:p>
        </w:tc>
        <w:tc>
          <w:tcPr>
            <w:tcW w:type="dxa" w:w="3293"/>
            <w:vAlign w:val="center"/>
          </w:tcPr>
          <w:p>
            <w:pPr>
              <w:spacing w:after="40"/>
            </w:pPr>
            <w:r>
              <w:rPr>
                <w:sz w:val="16"/>
              </w:rPr>
              <w:t>Prompt evaluation</w:t>
            </w:r>
          </w:p>
        </w:tc>
      </w:tr>
      <w:tr>
        <w:tc>
          <w:tcPr>
            <w:tcW w:type="dxa" w:w="3293"/>
            <w:vAlign w:val="center"/>
          </w:tcPr>
          <w:p>
            <w:pPr>
              <w:spacing w:after="40"/>
            </w:pPr>
            <w:r>
              <w:rPr>
                <w:sz w:val="16"/>
              </w:rPr>
              <w:t>T07 Resilience</w:t>
            </w:r>
          </w:p>
        </w:tc>
        <w:tc>
          <w:tcPr>
            <w:tcW w:type="dxa" w:w="3293"/>
            <w:vAlign w:val="center"/>
          </w:tcPr>
          <w:p>
            <w:pPr>
              <w:spacing w:after="40"/>
            </w:pPr>
            <w:r>
              <w:rPr>
                <w:sz w:val="16"/>
              </w:rPr>
              <w:t>Gemini failure leaves traceability, ranking, evidence and approvals functional</w:t>
            </w:r>
          </w:p>
        </w:tc>
        <w:tc>
          <w:tcPr>
            <w:tcW w:type="dxa" w:w="3293"/>
            <w:vAlign w:val="center"/>
          </w:tcPr>
          <w:p>
            <w:pPr>
              <w:spacing w:after="40"/>
            </w:pPr>
            <w:r>
              <w:rPr>
                <w:sz w:val="16"/>
              </w:rPr>
              <w:t>Offline test</w:t>
            </w:r>
          </w:p>
        </w:tc>
      </w:tr>
      <w:tr>
        <w:tc>
          <w:tcPr>
            <w:tcW w:type="dxa" w:w="3293"/>
            <w:vAlign w:val="center"/>
          </w:tcPr>
          <w:p>
            <w:pPr>
              <w:spacing w:after="40"/>
            </w:pPr>
            <w:r>
              <w:rPr>
                <w:sz w:val="16"/>
              </w:rPr>
              <w:t>T08 Baseline</w:t>
            </w:r>
          </w:p>
        </w:tc>
        <w:tc>
          <w:tcPr>
            <w:tcW w:type="dxa" w:w="3293"/>
            <w:vAlign w:val="center"/>
          </w:tcPr>
          <w:p>
            <w:pPr>
              <w:spacing w:after="40"/>
            </w:pPr>
            <w:r>
              <w:rPr>
                <w:sz w:val="16"/>
              </w:rPr>
              <w:t>Compare a naive all-batches or severity-first check strategy on identical fixed cases</w:t>
            </w:r>
          </w:p>
        </w:tc>
        <w:tc>
          <w:tcPr>
            <w:tcW w:type="dxa" w:w="3293"/>
            <w:vAlign w:val="center"/>
          </w:tcPr>
          <w:p>
            <w:pPr>
              <w:spacing w:after="40"/>
            </w:pPr>
            <w:r>
              <w:rPr>
                <w:sz w:val="16"/>
              </w:rPr>
              <w:t>Reproducible report</w:t>
            </w:r>
          </w:p>
        </w:tc>
      </w:tr>
      <w:tr>
        <w:tc>
          <w:tcPr>
            <w:tcW w:type="dxa" w:w="3293"/>
            <w:vAlign w:val="center"/>
          </w:tcPr>
          <w:p>
            <w:pPr>
              <w:spacing w:after="40"/>
            </w:pPr>
            <w:r>
              <w:rPr>
                <w:sz w:val="16"/>
              </w:rPr>
              <w:t>T09 Deployment</w:t>
            </w:r>
          </w:p>
        </w:tc>
        <w:tc>
          <w:tcPr>
            <w:tcW w:type="dxa" w:w="3293"/>
            <w:vAlign w:val="center"/>
          </w:tcPr>
          <w:p>
            <w:pPr>
              <w:spacing w:after="40"/>
            </w:pPr>
            <w:r>
              <w:rPr>
                <w:sz w:val="16"/>
              </w:rPr>
              <w:t>External reviewer can use seeded demo URL in fresh browser</w:t>
            </w:r>
          </w:p>
        </w:tc>
        <w:tc>
          <w:tcPr>
            <w:tcW w:type="dxa" w:w="3293"/>
            <w:vAlign w:val="center"/>
          </w:tcPr>
          <w:p>
            <w:pPr>
              <w:spacing w:after="40"/>
            </w:pPr>
            <w:r>
              <w:rPr>
                <w:sz w:val="16"/>
              </w:rPr>
              <w:t>Smoke test</w:t>
            </w:r>
          </w:p>
        </w:tc>
      </w:tr>
    </w:tbl>
    <w:p>
      <w:r>
        <w:t>Baseline method: fix 5–10 synthetic incidents with seeded ground-truth relations and explicit inspection outcomes. Compare inspection count, synthetic cost, synthetic time, mandatory-policy violations and unresolved evidence after a fixed budget. Do not report cost savings or real-world precision unless these synthetic trials support them. Preserve cases where ProofGap does not beat the baseline.</w:t>
      </w:r>
    </w:p>
    <w:p>
      <w:pPr>
        <w:pStyle w:val="Heading1"/>
      </w:pPr>
      <w:r>
        <w:t>12  Judge demo — exactly three minutes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Time</w:t>
            </w:r>
          </w:p>
        </w:tc>
        <w:tc>
          <w:tcPr>
            <w:tcW w:type="dxa" w:w="3293"/>
            <w:vAlign w:val="center"/>
          </w:tcPr>
          <w:p>
            <w:pPr>
              <w:spacing w:after="40"/>
            </w:pPr>
            <w:r>
              <w:rPr>
                <w:sz w:val="16"/>
              </w:rPr>
              <w:t>Show</w:t>
            </w:r>
          </w:p>
        </w:tc>
        <w:tc>
          <w:tcPr>
            <w:tcW w:type="dxa" w:w="3293"/>
            <w:vAlign w:val="center"/>
          </w:tcPr>
          <w:p>
            <w:pPr>
              <w:spacing w:after="40"/>
            </w:pPr>
            <w:r>
              <w:rPr>
                <w:sz w:val="16"/>
              </w:rPr>
              <w:t>Judge takeaway</w:t>
            </w:r>
          </w:p>
        </w:tc>
      </w:tr>
      <w:tr>
        <w:tc>
          <w:tcPr>
            <w:tcW w:type="dxa" w:w="3293"/>
            <w:vAlign w:val="center"/>
          </w:tcPr>
          <w:p>
            <w:pPr>
              <w:spacing w:after="40"/>
            </w:pPr>
            <w:r>
              <w:rPr>
                <w:sz w:val="16"/>
              </w:rPr>
              <w:t>0:00–0:25</w:t>
            </w:r>
          </w:p>
        </w:tc>
        <w:tc>
          <w:tcPr>
            <w:tcW w:type="dxa" w:w="3293"/>
            <w:vAlign w:val="center"/>
          </w:tcPr>
          <w:p>
            <w:pPr>
              <w:spacing w:after="40"/>
            </w:pPr>
            <w:r>
              <w:rPr>
                <w:sz w:val="16"/>
              </w:rPr>
              <w:t>One M-04 incident + why it threatens downstream operations</w:t>
            </w:r>
          </w:p>
        </w:tc>
        <w:tc>
          <w:tcPr>
            <w:tcW w:type="dxa" w:w="3293"/>
            <w:vAlign w:val="center"/>
          </w:tcPr>
          <w:p>
            <w:pPr>
              <w:spacing w:after="40"/>
            </w:pPr>
            <w:r>
              <w:rPr>
                <w:sz w:val="16"/>
              </w:rPr>
              <w:t>Concrete problem and stakeholder</w:t>
            </w:r>
          </w:p>
        </w:tc>
      </w:tr>
      <w:tr>
        <w:tc>
          <w:tcPr>
            <w:tcW w:type="dxa" w:w="3293"/>
            <w:vAlign w:val="center"/>
          </w:tcPr>
          <w:p>
            <w:pPr>
              <w:spacing w:after="40"/>
            </w:pPr>
            <w:r>
              <w:rPr>
                <w:sz w:val="16"/>
              </w:rPr>
              <w:t>0:25–0:55</w:t>
            </w:r>
          </w:p>
        </w:tc>
        <w:tc>
          <w:tcPr>
            <w:tcW w:type="dxa" w:w="3293"/>
            <w:vAlign w:val="center"/>
          </w:tcPr>
          <w:p>
            <w:pPr>
              <w:spacing w:after="40"/>
            </w:pPr>
            <w:r>
              <w:rPr>
                <w:sz w:val="16"/>
              </w:rPr>
              <w:t>Graph links anomaly to affected runs/batches/orders; unknowns visible</w:t>
            </w:r>
          </w:p>
        </w:tc>
        <w:tc>
          <w:tcPr>
            <w:tcW w:type="dxa" w:w="3293"/>
            <w:vAlign w:val="center"/>
          </w:tcPr>
          <w:p>
            <w:pPr>
              <w:spacing w:after="40"/>
            </w:pPr>
            <w:r>
              <w:rPr>
                <w:sz w:val="16"/>
              </w:rPr>
              <w:t>Traceability is deterministic</w:t>
            </w:r>
          </w:p>
        </w:tc>
      </w:tr>
      <w:tr>
        <w:tc>
          <w:tcPr>
            <w:tcW w:type="dxa" w:w="3293"/>
            <w:vAlign w:val="center"/>
          </w:tcPr>
          <w:p>
            <w:pPr>
              <w:spacing w:after="40"/>
            </w:pPr>
            <w:r>
              <w:rPr>
                <w:sz w:val="16"/>
              </w:rPr>
              <w:t>0:55–1:25</w:t>
            </w:r>
          </w:p>
        </w:tc>
        <w:tc>
          <w:tcPr>
            <w:tcW w:type="dxa" w:w="3293"/>
            <w:vAlign w:val="center"/>
          </w:tcPr>
          <w:p>
            <w:pPr>
              <w:spacing w:after="40"/>
            </w:pPr>
            <w:r>
              <w:rPr>
                <w:sz w:val="16"/>
              </w:rPr>
              <w:t>Three ranked feasible checks; score breakdown; excluded shipped hold</w:t>
            </w:r>
          </w:p>
        </w:tc>
        <w:tc>
          <w:tcPr>
            <w:tcW w:type="dxa" w:w="3293"/>
            <w:vAlign w:val="center"/>
          </w:tcPr>
          <w:p>
            <w:pPr>
              <w:spacing w:after="40"/>
            </w:pPr>
            <w:r>
              <w:rPr>
                <w:sz w:val="16"/>
              </w:rPr>
              <w:t>Smart planning with safety constraints</w:t>
            </w:r>
          </w:p>
        </w:tc>
      </w:tr>
      <w:tr>
        <w:tc>
          <w:tcPr>
            <w:tcW w:type="dxa" w:w="3293"/>
            <w:vAlign w:val="center"/>
          </w:tcPr>
          <w:p>
            <w:pPr>
              <w:spacing w:after="40"/>
            </w:pPr>
            <w:r>
              <w:rPr>
                <w:sz w:val="16"/>
              </w:rPr>
              <w:t>1:25–1:55</w:t>
            </w:r>
          </w:p>
        </w:tc>
        <w:tc>
          <w:tcPr>
            <w:tcW w:type="dxa" w:w="3293"/>
            <w:vAlign w:val="center"/>
          </w:tcPr>
          <w:p>
            <w:pPr>
              <w:spacing w:after="40"/>
            </w:pPr>
            <w:r>
              <w:rPr>
                <w:sz w:val="16"/>
              </w:rPr>
              <w:t>Submit PASS/FAIL synthetic evidence; reload and show reranking</w:t>
            </w:r>
          </w:p>
        </w:tc>
        <w:tc>
          <w:tcPr>
            <w:tcW w:type="dxa" w:w="3293"/>
            <w:vAlign w:val="center"/>
          </w:tcPr>
          <w:p>
            <w:pPr>
              <w:spacing w:after="40"/>
            </w:pPr>
            <w:r>
              <w:rPr>
                <w:sz w:val="16"/>
              </w:rPr>
              <w:t>Real state-based adaptive behavior</w:t>
            </w:r>
          </w:p>
        </w:tc>
      </w:tr>
      <w:tr>
        <w:tc>
          <w:tcPr>
            <w:tcW w:type="dxa" w:w="3293"/>
            <w:vAlign w:val="center"/>
          </w:tcPr>
          <w:p>
            <w:pPr>
              <w:spacing w:after="40"/>
            </w:pPr>
            <w:r>
              <w:rPr>
                <w:sz w:val="16"/>
              </w:rPr>
              <w:t>1:55–2:20</w:t>
            </w:r>
          </w:p>
        </w:tc>
        <w:tc>
          <w:tcPr>
            <w:tcW w:type="dxa" w:w="3293"/>
            <w:vAlign w:val="center"/>
          </w:tcPr>
          <w:p>
            <w:pPr>
              <w:spacing w:after="40"/>
            </w:pPr>
            <w:r>
              <w:rPr>
                <w:sz w:val="16"/>
              </w:rPr>
              <w:t>Gemini grounded narrative and cited record IDs</w:t>
            </w:r>
          </w:p>
        </w:tc>
        <w:tc>
          <w:tcPr>
            <w:tcW w:type="dxa" w:w="3293"/>
            <w:vAlign w:val="center"/>
          </w:tcPr>
          <w:p>
            <w:pPr>
              <w:spacing w:after="40"/>
            </w:pPr>
            <w:r>
              <w:rPr>
                <w:sz w:val="16"/>
              </w:rPr>
              <w:t>Meaningful Google AI use</w:t>
            </w:r>
          </w:p>
        </w:tc>
      </w:tr>
      <w:tr>
        <w:tc>
          <w:tcPr>
            <w:tcW w:type="dxa" w:w="3293"/>
            <w:vAlign w:val="center"/>
          </w:tcPr>
          <w:p>
            <w:pPr>
              <w:spacing w:after="40"/>
            </w:pPr>
            <w:r>
              <w:rPr>
                <w:sz w:val="16"/>
              </w:rPr>
              <w:t>2:20–2:40</w:t>
            </w:r>
          </w:p>
        </w:tc>
        <w:tc>
          <w:tcPr>
            <w:tcW w:type="dxa" w:w="3293"/>
            <w:vAlign w:val="center"/>
          </w:tcPr>
          <w:p>
            <w:pPr>
              <w:spacing w:after="40"/>
            </w:pPr>
            <w:r>
              <w:rPr>
                <w:sz w:val="16"/>
              </w:rPr>
              <w:t>Manager approval / explicitly simulated approval, audit timeline</w:t>
            </w:r>
          </w:p>
        </w:tc>
        <w:tc>
          <w:tcPr>
            <w:tcW w:type="dxa" w:w="3293"/>
            <w:vAlign w:val="center"/>
          </w:tcPr>
          <w:p>
            <w:pPr>
              <w:spacing w:after="40"/>
            </w:pPr>
            <w:r>
              <w:rPr>
                <w:sz w:val="16"/>
              </w:rPr>
              <w:t>Controlled action loop</w:t>
            </w:r>
          </w:p>
        </w:tc>
      </w:tr>
      <w:tr>
        <w:tc>
          <w:tcPr>
            <w:tcW w:type="dxa" w:w="3293"/>
            <w:vAlign w:val="center"/>
          </w:tcPr>
          <w:p>
            <w:pPr>
              <w:spacing w:after="40"/>
            </w:pPr>
            <w:r>
              <w:rPr>
                <w:sz w:val="16"/>
              </w:rPr>
              <w:t>2:40–3:00</w:t>
            </w:r>
          </w:p>
        </w:tc>
        <w:tc>
          <w:tcPr>
            <w:tcW w:type="dxa" w:w="3293"/>
            <w:vAlign w:val="center"/>
          </w:tcPr>
          <w:p>
            <w:pPr>
              <w:spacing w:after="40"/>
            </w:pPr>
            <w:r>
              <w:rPr>
                <w:sz w:val="16"/>
              </w:rPr>
              <w:t>Baseline comparison and deployment/next step</w:t>
            </w:r>
          </w:p>
        </w:tc>
        <w:tc>
          <w:tcPr>
            <w:tcW w:type="dxa" w:w="3293"/>
            <w:vAlign w:val="center"/>
          </w:tcPr>
          <w:p>
            <w:pPr>
              <w:spacing w:after="40"/>
            </w:pPr>
            <w:r>
              <w:rPr>
                <w:sz w:val="16"/>
              </w:rPr>
              <w:t>Quantified prototype impact</w:t>
            </w:r>
          </w:p>
        </w:tc>
      </w:tr>
    </w:tbl>
    <w:p>
      <w:pPr>
        <w:pStyle w:val="Heading1"/>
      </w:pPr>
      <w:r>
        <w:t>13  Submission checklist and risk register</w:t>
      </w:r>
    </w:p>
    <w:p>
      <w:pPr>
        <w:pStyle w:val="ListBullet"/>
      </w:pPr>
      <w:r>
        <w:t>Confirm team already formed by 14 October, team size 2–4, eligible working professionals 21+, and authorized accounts.</w:t>
      </w:r>
    </w:p>
    <w:p>
      <w:pPr>
        <w:pStyle w:val="ListBullet"/>
      </w:pPr>
      <w:r>
        <w:t>Cloud Run/Firebase publicly reachable working prototype; verify secrets are not present in repo or UI.</w:t>
      </w:r>
    </w:p>
    <w:p>
      <w:pPr>
        <w:pStyle w:val="ListBullet"/>
      </w:pPr>
      <w:r>
        <w:t>PDF proposal deck: problem, users, differentiator, architecture, Google AI role, evaluation, limitations, impact/scalability.</w:t>
      </w:r>
    </w:p>
    <w:p>
      <w:pPr>
        <w:pStyle w:val="ListBullet"/>
      </w:pPr>
      <w:r>
        <w:t>Public video link of 3 minutes (YouTube/Vimeo or public Drive, per site); show actual app, not mocked controls.</w:t>
      </w:r>
    </w:p>
    <w:p>
      <w:pPr>
        <w:pStyle w:val="ListBullet"/>
      </w:pPr>
      <w:r>
        <w:t>English README, repository/usage setup as applicable; exact challenge label: Manufacturing — Intelligent Operations &amp; Industrial Efficiency.</w:t>
      </w:r>
    </w:p>
    <w:p>
      <w:pPr>
        <w:pStyle w:val="ListBullet"/>
      </w:pPr>
      <w:r>
        <w:t>Verify live submission portal fields and deadline; submit early, preserve confirmation and accessible URLs.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Risk</w:t>
            </w:r>
          </w:p>
        </w:tc>
        <w:tc>
          <w:tcPr>
            <w:tcW w:type="dxa" w:w="4939"/>
            <w:vAlign w:val="center"/>
          </w:tcPr>
          <w:p>
            <w:pPr>
              <w:spacing w:after="40"/>
            </w:pPr>
            <w:r>
              <w:rPr>
                <w:sz w:val="16"/>
              </w:rPr>
              <w:t>Mitigation</w:t>
            </w:r>
          </w:p>
        </w:tc>
      </w:tr>
      <w:tr>
        <w:tc>
          <w:tcPr>
            <w:tcW w:type="dxa" w:w="4939"/>
            <w:vAlign w:val="center"/>
          </w:tcPr>
          <w:p>
            <w:pPr>
              <w:spacing w:after="40"/>
            </w:pPr>
            <w:r>
              <w:rPr>
                <w:sz w:val="16"/>
              </w:rPr>
              <w:t>Too little time</w:t>
            </w:r>
          </w:p>
        </w:tc>
        <w:tc>
          <w:tcPr>
            <w:tcW w:type="dxa" w:w="4939"/>
            <w:vAlign w:val="center"/>
          </w:tcPr>
          <w:p>
            <w:pPr>
              <w:spacing w:after="40"/>
            </w:pPr>
            <w:r>
              <w:rPr>
                <w:sz w:val="16"/>
              </w:rPr>
              <w:t>Only the primary incident, 3 checks, one update, one approval; stop features 17 Oct.</w:t>
            </w:r>
          </w:p>
        </w:tc>
      </w:tr>
      <w:tr>
        <w:tc>
          <w:tcPr>
            <w:tcW w:type="dxa" w:w="4939"/>
            <w:vAlign w:val="center"/>
          </w:tcPr>
          <w:p>
            <w:pPr>
              <w:spacing w:after="40"/>
            </w:pPr>
            <w:r>
              <w:rPr>
                <w:sz w:val="16"/>
              </w:rPr>
              <w:t>Unsafe or impossible recommendations</w:t>
            </w:r>
          </w:p>
        </w:tc>
        <w:tc>
          <w:tcPr>
            <w:tcW w:type="dxa" w:w="4939"/>
            <w:vAlign w:val="center"/>
          </w:tcPr>
          <w:p>
            <w:pPr>
              <w:spacing w:after="40"/>
            </w:pPr>
            <w:r>
              <w:rPr>
                <w:sz w:val="16"/>
              </w:rPr>
              <w:t>Hard rules before ranking and explicit excluded reasons.</w:t>
            </w:r>
          </w:p>
        </w:tc>
      </w:tr>
      <w:tr>
        <w:tc>
          <w:tcPr>
            <w:tcW w:type="dxa" w:w="4939"/>
            <w:vAlign w:val="center"/>
          </w:tcPr>
          <w:p>
            <w:pPr>
              <w:spacing w:after="40"/>
            </w:pPr>
            <w:r>
              <w:rPr>
                <w:sz w:val="16"/>
              </w:rPr>
              <w:t>AI invents evidence</w:t>
            </w:r>
          </w:p>
        </w:tc>
        <w:tc>
          <w:tcPr>
            <w:tcW w:type="dxa" w:w="4939"/>
            <w:vAlign w:val="center"/>
          </w:tcPr>
          <w:p>
            <w:pPr>
              <w:spacing w:after="40"/>
            </w:pPr>
            <w:r>
              <w:rPr>
                <w:sz w:val="16"/>
              </w:rPr>
              <w:t>Curated payload + strict schema + record-ID validation + fallback.</w:t>
            </w:r>
          </w:p>
        </w:tc>
      </w:tr>
      <w:tr>
        <w:tc>
          <w:tcPr>
            <w:tcW w:type="dxa" w:w="4939"/>
            <w:vAlign w:val="center"/>
          </w:tcPr>
          <w:p>
            <w:pPr>
              <w:spacing w:after="40"/>
            </w:pPr>
            <w:r>
              <w:rPr>
                <w:sz w:val="16"/>
              </w:rPr>
              <w:t>Ranking looks arbitrary</w:t>
            </w:r>
          </w:p>
        </w:tc>
        <w:tc>
          <w:tcPr>
            <w:tcW w:type="dxa" w:w="4939"/>
            <w:vAlign w:val="center"/>
          </w:tcPr>
          <w:p>
            <w:pPr>
              <w:spacing w:after="40"/>
            </w:pPr>
            <w:r>
              <w:rPr>
                <w:sz w:val="16"/>
              </w:rPr>
              <w:t>Document normalized heuristics, show math and weight sensitivity.</w:t>
            </w:r>
          </w:p>
        </w:tc>
      </w:tr>
      <w:tr>
        <w:tc>
          <w:tcPr>
            <w:tcW w:type="dxa" w:w="4939"/>
            <w:vAlign w:val="center"/>
          </w:tcPr>
          <w:p>
            <w:pPr>
              <w:spacing w:after="40"/>
            </w:pPr>
            <w:r>
              <w:rPr>
                <w:sz w:val="16"/>
              </w:rPr>
              <w:t>Approval spoofing</w:t>
            </w:r>
          </w:p>
        </w:tc>
        <w:tc>
          <w:tcPr>
            <w:tcW w:type="dxa" w:w="4939"/>
            <w:vAlign w:val="center"/>
          </w:tcPr>
          <w:p>
            <w:pPr>
              <w:spacing w:after="40"/>
            </w:pPr>
            <w:r>
              <w:rPr>
                <w:sz w:val="16"/>
              </w:rPr>
              <w:t>Backend authenticated role check OR label demo simulation.</w:t>
            </w:r>
          </w:p>
        </w:tc>
      </w:tr>
      <w:tr>
        <w:tc>
          <w:tcPr>
            <w:tcW w:type="dxa" w:w="4939"/>
            <w:vAlign w:val="center"/>
          </w:tcPr>
          <w:p>
            <w:pPr>
              <w:spacing w:after="40"/>
            </w:pPr>
            <w:r>
              <w:rPr>
                <w:sz w:val="16"/>
              </w:rPr>
              <w:t>Novelty challenge</w:t>
            </w:r>
          </w:p>
        </w:tc>
        <w:tc>
          <w:tcPr>
            <w:tcW w:type="dxa" w:w="4939"/>
            <w:vAlign w:val="center"/>
          </w:tcPr>
          <w:p>
            <w:pPr>
              <w:spacing w:after="40"/>
            </w:pPr>
            <w:r>
              <w:rPr>
                <w:sz w:val="16"/>
              </w:rPr>
              <w:t>Do not claim world-first; show demonstrable integration and measurable advantage.</w:t>
            </w:r>
          </w:p>
        </w:tc>
      </w:tr>
    </w:tbl>
    <w:p>
      <w:pPr>
        <w:pStyle w:val="Heading1"/>
      </w:pPr>
      <w:r>
        <w:t>14  Definition of done — no exceptions</w:t>
      </w:r>
    </w:p>
    <w:p>
      <w:r>
        <w:t>Ready to submit ONLY if: real persisted evidence changes the derived plan; blocked actions stay blocked; backend owns math and identity/approval logic (or approval is explicitly simulated); Gemini is visibly grounded and not the decision engine; tests T01–T09 are recorded; public deployment works; three-minute video and proposal PDF accurately reflect the running product. If any element fails, cut optional polish rather than inventing functionality.</w:t>
      </w:r>
    </w:p>
    <w:p>
      <w:pPr>
        <w:pStyle w:val="Heading1"/>
      </w:pPr>
      <w:r>
        <w:t>15  Sources and claim boundaries</w:t>
      </w:r>
    </w:p>
    <w:p>
      <w:r>
        <w:t>Official rules and themes consulted 15 October 2026: https://aibuildercup.com/ and https://aibuildercup.com/themes.html . Official site lists 18 October prototype deadline, team size 2–4, Google AI + Cloud Run/Firebase, 3-minute public video and proposal deck PDF. Category-specification text on themes page contains inconsistent generic examples; choose the listed Manufacturing theme, and verify portal fields at submission time.</w:t>
      </w:r>
    </w:p>
    <w:p>
      <w:r>
        <w:t>Product novelty: related manufacturing quality agents, digital-thread tools and inspection-planning research already exist. Do not claim ProofGap is unprecedented. The technical methodology above is a pragmatic hackathon heuristic; it requires real validation before industrial deployment.</w:t>
      </w:r>
    </w:p>
    <w:sectPr w:rsidR="00FC693F" w:rsidRPr="0006063C" w:rsidSect="00034616">
      <w:headerReference w:type="default" r:id="rId9"/>
      <w:footerReference w:type="default" r:id="rId10"/>
      <w:pgSz w:w="12240" w:h="15840"/>
      <w:pgMar w:top="1051"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Internal working blueprint • 15 October 2026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PROOFGAP AI  /  BUILD SPECIFICATION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5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E35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14D6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E27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