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CHAPTER THREE</w:t>
        <w:br/>
        <w:t>METHODOLOGY</w:t>
      </w:r>
    </w:p>
    <w:p>
      <w:pPr>
        <w:pStyle w:val="Heading2"/>
      </w:pPr>
      <w:r>
        <w:t>3.1 Introduction to Study Area</w:t>
      </w:r>
    </w:p>
    <w:p>
      <w:pPr>
        <w:jc w:val="both"/>
      </w:pPr>
      <w:r>
        <w:t>This section describes the study area selected for the study. The study area was selected to examine the characteristics of migrant households, their places of origin, reasons for migration, conditions before and after migration, and the changes experienced after migration. The study was based on information collected from sampled households within the study area.</w:t>
      </w:r>
    </w:p>
    <w:p>
      <w:pPr>
        <w:pStyle w:val="Heading2"/>
      </w:pPr>
      <w:r>
        <w:t>3.2 Sample Design</w:t>
      </w:r>
    </w:p>
    <w:p>
      <w:pPr>
        <w:jc w:val="both"/>
      </w:pPr>
      <w:r>
        <w:t>The study used household-level information collected from 89 sampled households. The households were considered for the study according to their migration experience and the information required for the study. The distribution of the sampled households by year of migration is presented below.</w:t>
      </w:r>
    </w:p>
    <w:tbl>
      <w:tblPr>
        <w:tblStyle w:val="TableGrid"/>
        <w:tblW w:type="auto" w:w="0"/>
        <w:jc w:val="center"/>
        <w:tblLook w:firstColumn="1" w:firstRow="1" w:lastColumn="0" w:lastRow="0" w:noHBand="0" w:noVBand="1" w:val="04A0"/>
      </w:tblPr>
      <w:tblGrid>
        <w:gridCol w:w="4500"/>
        <w:gridCol w:w="4500"/>
      </w:tblGrid>
      <w:tr>
        <w:tc>
          <w:tcPr>
            <w:tcW w:type="dxa" w:w="4500"/>
          </w:tcPr>
          <w:p>
            <w:r>
              <w:t>Year</w:t>
            </w:r>
          </w:p>
        </w:tc>
        <w:tc>
          <w:tcPr>
            <w:tcW w:type="dxa" w:w="4500"/>
          </w:tcPr>
          <w:p>
            <w:r>
              <w:t>Number of households</w:t>
            </w:r>
          </w:p>
        </w:tc>
      </w:tr>
      <w:tr>
        <w:tc>
          <w:tcPr>
            <w:tcW w:type="dxa" w:w="4500"/>
          </w:tcPr>
          <w:p>
            <w:r>
              <w:t>2074</w:t>
            </w:r>
          </w:p>
        </w:tc>
        <w:tc>
          <w:tcPr>
            <w:tcW w:type="dxa" w:w="4500"/>
          </w:tcPr>
          <w:p>
            <w:r>
              <w:t>9</w:t>
            </w:r>
          </w:p>
        </w:tc>
      </w:tr>
      <w:tr>
        <w:tc>
          <w:tcPr>
            <w:tcW w:type="dxa" w:w="4500"/>
          </w:tcPr>
          <w:p>
            <w:r>
              <w:t>2075</w:t>
            </w:r>
          </w:p>
        </w:tc>
        <w:tc>
          <w:tcPr>
            <w:tcW w:type="dxa" w:w="4500"/>
          </w:tcPr>
          <w:p>
            <w:r>
              <w:t>5</w:t>
            </w:r>
          </w:p>
        </w:tc>
      </w:tr>
      <w:tr>
        <w:tc>
          <w:tcPr>
            <w:tcW w:type="dxa" w:w="4500"/>
          </w:tcPr>
          <w:p>
            <w:r>
              <w:t>2076</w:t>
            </w:r>
          </w:p>
        </w:tc>
        <w:tc>
          <w:tcPr>
            <w:tcW w:type="dxa" w:w="4500"/>
          </w:tcPr>
          <w:p>
            <w:r>
              <w:t>8</w:t>
            </w:r>
          </w:p>
        </w:tc>
      </w:tr>
      <w:tr>
        <w:tc>
          <w:tcPr>
            <w:tcW w:type="dxa" w:w="4500"/>
          </w:tcPr>
          <w:p>
            <w:r>
              <w:t>2077</w:t>
            </w:r>
          </w:p>
        </w:tc>
        <w:tc>
          <w:tcPr>
            <w:tcW w:type="dxa" w:w="4500"/>
          </w:tcPr>
          <w:p>
            <w:r>
              <w:t>2</w:t>
            </w:r>
          </w:p>
        </w:tc>
      </w:tr>
      <w:tr>
        <w:tc>
          <w:tcPr>
            <w:tcW w:type="dxa" w:w="4500"/>
          </w:tcPr>
          <w:p>
            <w:r>
              <w:t>2078</w:t>
            </w:r>
          </w:p>
        </w:tc>
        <w:tc>
          <w:tcPr>
            <w:tcW w:type="dxa" w:w="4500"/>
          </w:tcPr>
          <w:p>
            <w:r>
              <w:t>12</w:t>
            </w:r>
          </w:p>
        </w:tc>
      </w:tr>
      <w:tr>
        <w:tc>
          <w:tcPr>
            <w:tcW w:type="dxa" w:w="4500"/>
          </w:tcPr>
          <w:p>
            <w:r>
              <w:t>2079</w:t>
            </w:r>
          </w:p>
        </w:tc>
        <w:tc>
          <w:tcPr>
            <w:tcW w:type="dxa" w:w="4500"/>
          </w:tcPr>
          <w:p>
            <w:r>
              <w:t>14</w:t>
            </w:r>
          </w:p>
        </w:tc>
      </w:tr>
      <w:tr>
        <w:tc>
          <w:tcPr>
            <w:tcW w:type="dxa" w:w="4500"/>
          </w:tcPr>
          <w:p>
            <w:r>
              <w:t>2080</w:t>
            </w:r>
          </w:p>
        </w:tc>
        <w:tc>
          <w:tcPr>
            <w:tcW w:type="dxa" w:w="4500"/>
          </w:tcPr>
          <w:p>
            <w:r>
              <w:t>9</w:t>
            </w:r>
          </w:p>
        </w:tc>
      </w:tr>
      <w:tr>
        <w:tc>
          <w:tcPr>
            <w:tcW w:type="dxa" w:w="4500"/>
          </w:tcPr>
          <w:p>
            <w:r>
              <w:t>2081</w:t>
            </w:r>
          </w:p>
        </w:tc>
        <w:tc>
          <w:tcPr>
            <w:tcW w:type="dxa" w:w="4500"/>
          </w:tcPr>
          <w:p>
            <w:r>
              <w:t>11</w:t>
            </w:r>
          </w:p>
        </w:tc>
      </w:tr>
      <w:tr>
        <w:tc>
          <w:tcPr>
            <w:tcW w:type="dxa" w:w="4500"/>
          </w:tcPr>
          <w:p>
            <w:r>
              <w:t>2082</w:t>
            </w:r>
          </w:p>
        </w:tc>
        <w:tc>
          <w:tcPr>
            <w:tcW w:type="dxa" w:w="4500"/>
          </w:tcPr>
          <w:p>
            <w:r>
              <w:t>16</w:t>
            </w:r>
          </w:p>
        </w:tc>
      </w:tr>
      <w:tr>
        <w:tc>
          <w:tcPr>
            <w:tcW w:type="dxa" w:w="4500"/>
          </w:tcPr>
          <w:p>
            <w:r>
              <w:t>2083</w:t>
            </w:r>
          </w:p>
        </w:tc>
        <w:tc>
          <w:tcPr>
            <w:tcW w:type="dxa" w:w="4500"/>
          </w:tcPr>
          <w:p>
            <w:r>
              <w:t>3</w:t>
            </w:r>
          </w:p>
        </w:tc>
      </w:tr>
      <w:tr>
        <w:tc>
          <w:tcPr>
            <w:tcW w:type="dxa" w:w="4500"/>
          </w:tcPr>
          <w:p>
            <w:r>
              <w:t>Total</w:t>
            </w:r>
          </w:p>
        </w:tc>
        <w:tc>
          <w:tcPr>
            <w:tcW w:type="dxa" w:w="4500"/>
          </w:tcPr>
          <w:p>
            <w:r>
              <w:t>89</w:t>
            </w:r>
          </w:p>
        </w:tc>
      </w:tr>
    </w:tbl>
    <w:p>
      <w:pPr>
        <w:jc w:val="center"/>
      </w:pPr>
      <w:r>
        <w:rPr>
          <w:rFonts w:ascii="Times New Roman" w:hAnsi="Times New Roman"/>
          <w:b/>
          <w:sz w:val="24"/>
        </w:rPr>
        <w:t>Table 3.1: Distribution of sampled households by year of migration</w:t>
      </w:r>
    </w:p>
    <w:p>
      <w:pPr>
        <w:jc w:val="center"/>
      </w:pPr>
      <w:r>
        <w:rPr>
          <w:rFonts w:ascii="Times New Roman" w:hAnsi="Times New Roman"/>
          <w:b w:val="0"/>
          <w:sz w:val="24"/>
        </w:rPr>
        <w:t>Source: Field Survey</w:t>
      </w:r>
    </w:p>
    <w:p>
      <w:pPr>
        <w:jc w:val="both"/>
      </w:pPr>
      <w:r>
        <w:t>The table shows that the number of sampled migrant households varied across the years. The highest number of households, 16, migrated in 2082, followed by 14 households in 2079 and 12 households in 2078. The lowest number was recorded in 2077, with 2 households. Overall, 89 households were included in the study.</w:t>
      </w:r>
    </w:p>
    <w:p>
      <w:pPr>
        <w:pStyle w:val="Heading2"/>
      </w:pPr>
      <w:r>
        <w:t>3.3 Questionnaire Design</w:t>
      </w:r>
    </w:p>
    <w:p>
      <w:pPr>
        <w:jc w:val="both"/>
      </w:pPr>
      <w:r>
        <w:t>A structured questionnaire was prepared for collecting the required information from the sampled households. The questionnaire covered demographic and socio-economic characteristics, place of origin, reasons for leaving the place of origin, conditions before and after migration, problems faced at the destination, future intention, and changes experienced after migration. The questions were arranged in a simple form so that the respondents could provide information related to their household and migration experience.</w:t>
      </w:r>
    </w:p>
    <w:p>
      <w:pPr>
        <w:pStyle w:val="Heading2"/>
      </w:pPr>
      <w:r>
        <w:t>3.4 Data Collection and Processing</w:t>
      </w:r>
    </w:p>
    <w:p>
      <w:pPr>
        <w:jc w:val="both"/>
      </w:pPr>
      <w:r>
        <w:t>Primary data were collected from the sampled households through a structured questionnaire. The required information was obtained directly from the respondents. After collection, the questionnaires were checked and the information was organized according to the variables used in the study. The data were then entered and arranged in Microsoft Excel for calculation, tabulation and graphical presentation.</w:t>
      </w:r>
    </w:p>
    <w:p>
      <w:pPr>
        <w:pStyle w:val="Heading2"/>
      </w:pPr>
      <w:r>
        <w:t>3.5 Data Analysis</w:t>
      </w:r>
    </w:p>
    <w:p>
      <w:pPr>
        <w:jc w:val="both"/>
      </w:pPr>
      <w:r>
        <w:t>The collected data were classified and presented in tables and charts according to the objectives of the study. Percentage distribution was used to describe the characteristics of the respondents and households. Bar charts and other graphical presentations were used where they helped to show differences among categories. A comparison was also made between conditions at the place of origin and conditions at the destination, particularly for income, occupation and physical facilities.</w:t>
      </w:r>
    </w:p>
    <w:p>
      <w:pPr>
        <w:pStyle w:val="ListBullet"/>
      </w:pPr>
      <w:r>
        <w:t>Percentage distribution was used to present the proportion of households or respondents under different categories.</w:t>
      </w:r>
    </w:p>
    <w:p>
      <w:pPr>
        <w:pStyle w:val="ListBullet"/>
      </w:pPr>
      <w:r>
        <w:t>The collected information was classified and summarized in tables for easy interpretation.</w:t>
      </w:r>
    </w:p>
    <w:p>
      <w:pPr>
        <w:pStyle w:val="ListBullet"/>
      </w:pPr>
      <w:r>
        <w:t>Bar charts and other diagrams were used to present important categorical information graphically.</w:t>
      </w:r>
    </w:p>
    <w:p>
      <w:pPr>
        <w:pStyle w:val="ListBullet"/>
      </w:pPr>
      <w:r>
        <w:t>Conditions at the place of origin and destination were compared to identify major changes associated with migration.</w:t>
      </w:r>
    </w:p>
    <w:p>
      <w:r>
        <w:br w:type="page"/>
      </w:r>
    </w:p>
    <w:p>
      <w:pPr>
        <w:jc w:val="center"/>
      </w:pPr>
      <w:r>
        <w:rPr>
          <w:rFonts w:ascii="Times New Roman" w:hAnsi="Times New Roman"/>
          <w:b/>
          <w:sz w:val="28"/>
        </w:rPr>
        <w:t>CHAPTER FOUR</w:t>
        <w:br/>
        <w:t>SOCIO-ECONOMIC AND DEMOGRAPHIC CHARACTERISTICS OF MIGRANTS</w:t>
      </w:r>
    </w:p>
    <w:p>
      <w:pPr>
        <w:pStyle w:val="Heading2"/>
      </w:pPr>
      <w:r>
        <w:t>4.1 Socio-Economic Characteristics</w:t>
      </w:r>
    </w:p>
    <w:p>
      <w:pPr>
        <w:jc w:val="both"/>
      </w:pPr>
      <w:r>
        <w:t>This chapter presents the demographic and socio-economic characteristics of the sampled migrant households. The analysis includes literacy status, ethnicity, religion, landholding, source of drinking water, age structure, marital status, family size and dependency ratio. These characteristics help to describe the general socio-economic condition of the households included in the study.</w:t>
      </w:r>
    </w:p>
    <w:p>
      <w:pPr>
        <w:pStyle w:val="Heading3"/>
      </w:pPr>
      <w:r>
        <w:t>4.1.1 Literacy Status of Migrants</w:t>
      </w:r>
    </w:p>
    <w:p>
      <w:pPr>
        <w:jc w:val="both"/>
      </w:pPr>
      <w:r>
        <w:t>Literacy status is an important demographic characteristic because education can influence employment opportunities, access to information and the ability to adapt to changing social and economic conditions. The literacy status of the sampled population is presented below.</w:t>
      </w:r>
    </w:p>
    <w:tbl>
      <w:tblPr>
        <w:tblStyle w:val="TableGrid"/>
        <w:tblW w:type="auto" w:w="0"/>
        <w:jc w:val="center"/>
        <w:tblLook w:firstColumn="1" w:firstRow="1" w:lastColumn="0" w:lastRow="0" w:noHBand="0" w:noVBand="1" w:val="04A0"/>
      </w:tblPr>
      <w:tblGrid>
        <w:gridCol w:w="2250"/>
        <w:gridCol w:w="2250"/>
        <w:gridCol w:w="2250"/>
        <w:gridCol w:w="2250"/>
      </w:tblGrid>
      <w:tr>
        <w:tc>
          <w:tcPr>
            <w:tcW w:type="dxa" w:w="2250"/>
          </w:tcPr>
          <w:p>
            <w:r>
              <w:t>Sex</w:t>
            </w:r>
          </w:p>
        </w:tc>
        <w:tc>
          <w:tcPr>
            <w:tcW w:type="dxa" w:w="2250"/>
          </w:tcPr>
          <w:p>
            <w:r>
              <w:t>Literate</w:t>
            </w:r>
          </w:p>
        </w:tc>
        <w:tc>
          <w:tcPr>
            <w:tcW w:type="dxa" w:w="2250"/>
          </w:tcPr>
          <w:p>
            <w:r>
              <w:t>Illiterate</w:t>
            </w:r>
          </w:p>
        </w:tc>
        <w:tc>
          <w:tcPr>
            <w:tcW w:type="dxa" w:w="2250"/>
          </w:tcPr>
          <w:p>
            <w:r>
              <w:t>Total</w:t>
            </w:r>
          </w:p>
        </w:tc>
      </w:tr>
      <w:tr>
        <w:tc>
          <w:tcPr>
            <w:tcW w:type="dxa" w:w="2250"/>
          </w:tcPr>
          <w:p>
            <w:r>
              <w:t>Male</w:t>
            </w:r>
          </w:p>
        </w:tc>
        <w:tc>
          <w:tcPr>
            <w:tcW w:type="dxa" w:w="2250"/>
          </w:tcPr>
          <w:p>
            <w:r>
              <w:t>164 (93.71%)</w:t>
            </w:r>
          </w:p>
        </w:tc>
        <w:tc>
          <w:tcPr>
            <w:tcW w:type="dxa" w:w="2250"/>
          </w:tcPr>
          <w:p>
            <w:r>
              <w:t>11 (6.29%)</w:t>
            </w:r>
          </w:p>
        </w:tc>
        <w:tc>
          <w:tcPr>
            <w:tcW w:type="dxa" w:w="2250"/>
          </w:tcPr>
          <w:p>
            <w:r>
              <w:t>175</w:t>
            </w:r>
          </w:p>
        </w:tc>
      </w:tr>
      <w:tr>
        <w:tc>
          <w:tcPr>
            <w:tcW w:type="dxa" w:w="2250"/>
          </w:tcPr>
          <w:p>
            <w:r>
              <w:t>Female</w:t>
            </w:r>
          </w:p>
        </w:tc>
        <w:tc>
          <w:tcPr>
            <w:tcW w:type="dxa" w:w="2250"/>
          </w:tcPr>
          <w:p>
            <w:r>
              <w:t>107 (66.88%)</w:t>
            </w:r>
          </w:p>
        </w:tc>
        <w:tc>
          <w:tcPr>
            <w:tcW w:type="dxa" w:w="2250"/>
          </w:tcPr>
          <w:p>
            <w:r>
              <w:t>53 (33.13%)</w:t>
            </w:r>
          </w:p>
        </w:tc>
        <w:tc>
          <w:tcPr>
            <w:tcW w:type="dxa" w:w="2250"/>
          </w:tcPr>
          <w:p>
            <w:r>
              <w:t>160</w:t>
            </w:r>
          </w:p>
        </w:tc>
      </w:tr>
      <w:tr>
        <w:tc>
          <w:tcPr>
            <w:tcW w:type="dxa" w:w="2250"/>
          </w:tcPr>
          <w:p>
            <w:r>
              <w:t>Total</w:t>
            </w:r>
          </w:p>
        </w:tc>
        <w:tc>
          <w:tcPr>
            <w:tcW w:type="dxa" w:w="2250"/>
          </w:tcPr>
          <w:p>
            <w:r>
              <w:t>271 (80.90%)</w:t>
            </w:r>
          </w:p>
        </w:tc>
        <w:tc>
          <w:tcPr>
            <w:tcW w:type="dxa" w:w="2250"/>
          </w:tcPr>
          <w:p>
            <w:r>
              <w:t>64 (19.10%)</w:t>
            </w:r>
          </w:p>
        </w:tc>
        <w:tc>
          <w:tcPr>
            <w:tcW w:type="dxa" w:w="2250"/>
          </w:tcPr>
          <w:p>
            <w:r>
              <w:t>335</w:t>
            </w:r>
          </w:p>
        </w:tc>
      </w:tr>
    </w:tbl>
    <w:p>
      <w:pPr>
        <w:jc w:val="center"/>
      </w:pPr>
      <w:r>
        <w:rPr>
          <w:rFonts w:ascii="Times New Roman" w:hAnsi="Times New Roman"/>
          <w:b/>
          <w:sz w:val="24"/>
        </w:rPr>
        <w:t>Table 4.1: Literacy status of the sampled population</w:t>
      </w:r>
    </w:p>
    <w:p>
      <w:pPr>
        <w:jc w:val="center"/>
      </w:pPr>
      <w:r>
        <w:rPr>
          <w:rFonts w:ascii="Times New Roman" w:hAnsi="Times New Roman"/>
          <w:b w:val="0"/>
          <w:sz w:val="24"/>
        </w:rPr>
        <w:t>Source: Field Survey</w:t>
      </w:r>
    </w:p>
    <w:p>
      <w:pPr>
        <w:jc w:val="both"/>
      </w:pPr>
      <w:r>
        <w:t>The table shows that 80.90 percent of the sampled population was literate, while 19.10 percent was illiterate. Literacy was higher among males, with 93.71 percent literate, compared with 66.88 percent among females. The difference indicates that literacy levels were not the same between male and female members of the sampled population.</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