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5224F" w14:textId="76828B0E" w:rsidR="00AD22FF" w:rsidRPr="00A0524B" w:rsidRDefault="00AD22FF" w:rsidP="00A0524B">
      <w:pPr>
        <w:rPr>
          <w:b/>
          <w:color w:val="000000" w:themeColor="text1"/>
          <w:sz w:val="24"/>
          <w:szCs w:val="24"/>
        </w:rPr>
      </w:pPr>
      <w:r w:rsidRPr="00A0524B">
        <w:rPr>
          <w:b/>
          <w:color w:val="000000" w:themeColor="text1"/>
          <w:sz w:val="24"/>
          <w:szCs w:val="24"/>
        </w:rPr>
        <w:t>Supplementary Method</w:t>
      </w:r>
    </w:p>
    <w:p w14:paraId="2E7206B8" w14:textId="77777777" w:rsidR="00AD22FF" w:rsidRPr="00A0524B" w:rsidRDefault="00AD22FF" w:rsidP="00A0524B">
      <w:pPr>
        <w:rPr>
          <w:b/>
          <w:color w:val="000000" w:themeColor="text1"/>
          <w:sz w:val="24"/>
          <w:szCs w:val="24"/>
        </w:rPr>
      </w:pPr>
    </w:p>
    <w:p w14:paraId="45DE79AA" w14:textId="37BCD4E6" w:rsidR="00AD22FF" w:rsidRDefault="00AD22FF" w:rsidP="00A0524B">
      <w:pPr>
        <w:ind w:firstLine="240"/>
        <w:rPr>
          <w:color w:val="000000" w:themeColor="text1"/>
          <w:sz w:val="24"/>
          <w:szCs w:val="24"/>
        </w:rPr>
      </w:pPr>
      <w:r w:rsidRPr="00A0524B">
        <w:rPr>
          <w:b/>
          <w:color w:val="000000" w:themeColor="text1"/>
          <w:sz w:val="24"/>
          <w:szCs w:val="24"/>
        </w:rPr>
        <w:t>Spark</w:t>
      </w:r>
      <w:r w:rsidR="00A0524B">
        <w:rPr>
          <w:b/>
          <w:color w:val="000000" w:themeColor="text1"/>
          <w:sz w:val="24"/>
          <w:szCs w:val="24"/>
        </w:rPr>
        <w:tab/>
      </w:r>
      <w:r w:rsidRPr="00A0524B">
        <w:rPr>
          <w:color w:val="000000" w:themeColor="text1"/>
          <w:sz w:val="24"/>
          <w:szCs w:val="24"/>
        </w:rPr>
        <w:t>Spark is a MapReduce type framework that can carry on all computation in memory, without needing to save intermediate results. The main abstraction Spark provides is a resilient distributed dataset (RDD), which is a collection of elements partitioned across the nodes of the cluster that can be operated on in parallel. RDDs are created by starting with a file in the file system, or an existing collection in the driver program, and transforming it. The collection means a set of data which is distributed on different computers in a cluster.</w:t>
      </w:r>
    </w:p>
    <w:p w14:paraId="1B2FB384" w14:textId="77777777" w:rsidR="00A0524B" w:rsidRPr="00A0524B" w:rsidRDefault="00A0524B" w:rsidP="00A0524B">
      <w:pPr>
        <w:ind w:firstLine="240"/>
        <w:rPr>
          <w:color w:val="000000" w:themeColor="text1"/>
          <w:sz w:val="24"/>
          <w:szCs w:val="24"/>
        </w:rPr>
      </w:pPr>
    </w:p>
    <w:p w14:paraId="115A1378" w14:textId="77777777" w:rsidR="00A0524B" w:rsidRDefault="00A0524B" w:rsidP="00A0524B">
      <w:pPr>
        <w:ind w:firstLine="240"/>
        <w:rPr>
          <w:color w:val="000000"/>
          <w:sz w:val="24"/>
          <w:szCs w:val="24"/>
        </w:rPr>
      </w:pPr>
      <w:r w:rsidRPr="00A0524B">
        <w:rPr>
          <w:b/>
          <w:color w:val="000000"/>
          <w:sz w:val="24"/>
          <w:szCs w:val="24"/>
        </w:rPr>
        <w:t>Design of Spark version of MASC</w:t>
      </w:r>
      <w:r>
        <w:rPr>
          <w:color w:val="000000"/>
          <w:sz w:val="24"/>
          <w:szCs w:val="24"/>
        </w:rPr>
        <w:t xml:space="preserve"> </w:t>
      </w:r>
      <w:r w:rsidRPr="00A0524B">
        <w:rPr>
          <w:color w:val="000000"/>
          <w:sz w:val="24"/>
          <w:szCs w:val="24"/>
        </w:rPr>
        <w:t>Our Spark center</w:t>
      </w:r>
      <w:r>
        <w:rPr>
          <w:color w:val="000000"/>
          <w:sz w:val="24"/>
          <w:szCs w:val="24"/>
        </w:rPr>
        <w:t>-star MSA has two stages which is shown in Supplementary Figure 2.</w:t>
      </w:r>
    </w:p>
    <w:p w14:paraId="4CFF1D8C" w14:textId="77777777" w:rsidR="00A0524B" w:rsidRDefault="00A0524B" w:rsidP="00A0524B">
      <w:pPr>
        <w:keepNext/>
        <w:ind w:firstLine="240"/>
        <w:jc w:val="center"/>
      </w:pPr>
      <w:r w:rsidRPr="002C0476">
        <w:rPr>
          <w:noProof/>
          <w:sz w:val="24"/>
          <w:szCs w:val="24"/>
        </w:rPr>
        <w:drawing>
          <wp:inline distT="0" distB="0" distL="0" distR="0" wp14:anchorId="6EBBE686" wp14:editId="1CEC2BF4">
            <wp:extent cx="5270500" cy="3653689"/>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stretch>
                      <a:fillRect/>
                    </a:stretch>
                  </pic:blipFill>
                  <pic:spPr>
                    <a:xfrm>
                      <a:off x="0" y="0"/>
                      <a:ext cx="5270500" cy="3653689"/>
                    </a:xfrm>
                    <a:prstGeom prst="rect">
                      <a:avLst/>
                    </a:prstGeom>
                  </pic:spPr>
                </pic:pic>
              </a:graphicData>
            </a:graphic>
          </wp:inline>
        </w:drawing>
      </w:r>
    </w:p>
    <w:p w14:paraId="4AC130E1" w14:textId="707CF7D6" w:rsidR="00A0524B" w:rsidRDefault="00A0524B" w:rsidP="00A0524B">
      <w:pPr>
        <w:pStyle w:val="a3"/>
        <w:jc w:val="center"/>
        <w:rPr>
          <w:rFonts w:ascii="Calibri" w:hAnsi="Calibri"/>
        </w:rPr>
      </w:pPr>
      <w:r w:rsidRPr="00A0524B">
        <w:rPr>
          <w:rFonts w:ascii="Calibri" w:hAnsi="Calibri"/>
          <w:b/>
        </w:rPr>
        <w:t>Supplementary Figure 2</w:t>
      </w:r>
      <w:r w:rsidRPr="00A0524B">
        <w:rPr>
          <w:rFonts w:ascii="Calibri" w:hAnsi="Calibri"/>
        </w:rPr>
        <w:t xml:space="preserve"> Implementation of MASC on Spark</w:t>
      </w:r>
    </w:p>
    <w:p w14:paraId="053CAD41" w14:textId="77777777" w:rsidR="00A0524B" w:rsidRPr="00A0524B" w:rsidRDefault="00A0524B" w:rsidP="00A0524B"/>
    <w:p w14:paraId="2BAB7539" w14:textId="60354694" w:rsidR="00A0524B" w:rsidRPr="00A0524B" w:rsidRDefault="00A0524B" w:rsidP="00A0524B">
      <w:pPr>
        <w:ind w:firstLine="240"/>
        <w:rPr>
          <w:color w:val="000000"/>
          <w:sz w:val="24"/>
          <w:szCs w:val="24"/>
        </w:rPr>
      </w:pPr>
      <w:r w:rsidRPr="00A0524B">
        <w:rPr>
          <w:color w:val="000000"/>
          <w:sz w:val="24"/>
          <w:szCs w:val="24"/>
        </w:rPr>
        <w:t xml:space="preserve">Initially, data is input from the local file system or an Apache Hadoop Distributed File System (HDFS), and a format examination is performed. Next, the sequence array is parallelized, which consists of converting the string lists to sequence string RDDs. Concurrently, the program needs to choose a center sequence, which, as previously explained, is randomly chosen, because any sequence can be regarded as average, if </w:t>
      </w:r>
      <w:r w:rsidRPr="00A0524B">
        <w:rPr>
          <w:color w:val="000000"/>
          <w:sz w:val="24"/>
          <w:szCs w:val="24"/>
        </w:rPr>
        <w:lastRenderedPageBreak/>
        <w:t xml:space="preserve">all are sufficiently similar. This randomly selected sequence is then used to construct a center sequence suffix tree, and pairwise alignments are run between that suffix tree and all other sequences, using Spark, making use of the algorithm previously illustrated. In this step, the suffix tree is used to get matching substrings in each sequence serially, because this step runs extremely fast, and wasting memory can be avoided by keeping a single copy of the center suffix tree. When the information regarding all the matched substrings is obtained, a parallel process of aligning the unmatched substrings is run by passing the function to the Spark transformation, which implements the Needleman–Wunsch algorithm. In the previous step, the sequence string RDDs are transformed into pair RDDs of spaces in the center sequence and spaces in all other sequences. Next, the RDDs of spaces in the center sequence are collected to make the center aligned. Then the aligned center sequence is broadcast to all executors, and align all other sequences. In this step the pair RDDs of spaces are transformed into string RDDs of aligned sequences, and the results are stored. Finally, the aligned string RDDs are collected and are output to the local file system. The data flow and operations are shown in </w:t>
      </w:r>
      <w:r w:rsidR="00495C85">
        <w:rPr>
          <w:color w:val="000000"/>
          <w:sz w:val="24"/>
          <w:szCs w:val="24"/>
        </w:rPr>
        <w:t>Supplementary Figure 3</w:t>
      </w:r>
      <w:bookmarkStart w:id="0" w:name="_GoBack"/>
      <w:bookmarkEnd w:id="0"/>
      <w:r w:rsidRPr="00A0524B">
        <w:rPr>
          <w:color w:val="000000"/>
          <w:sz w:val="24"/>
          <w:szCs w:val="24"/>
        </w:rPr>
        <w:t>.</w:t>
      </w:r>
    </w:p>
    <w:p w14:paraId="737A736C" w14:textId="77777777" w:rsidR="00E1507D" w:rsidRDefault="00A0524B" w:rsidP="00E1507D">
      <w:pPr>
        <w:keepNext/>
        <w:jc w:val="center"/>
      </w:pPr>
      <w:r w:rsidRPr="00A0524B">
        <w:rPr>
          <w:noProof/>
          <w:sz w:val="24"/>
          <w:szCs w:val="24"/>
        </w:rPr>
        <w:drawing>
          <wp:inline distT="0" distB="0" distL="0" distR="0" wp14:anchorId="7C4163A2" wp14:editId="739839A2">
            <wp:extent cx="4503733" cy="20175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09044" cy="2019964"/>
                    </a:xfrm>
                    <a:prstGeom prst="rect">
                      <a:avLst/>
                    </a:prstGeom>
                    <a:noFill/>
                    <a:ln>
                      <a:noFill/>
                    </a:ln>
                  </pic:spPr>
                </pic:pic>
              </a:graphicData>
            </a:graphic>
          </wp:inline>
        </w:drawing>
      </w:r>
    </w:p>
    <w:p w14:paraId="6BBCE10C" w14:textId="5BFDC977" w:rsidR="00A0524B" w:rsidRPr="00E1507D" w:rsidRDefault="00E1507D" w:rsidP="00E1507D">
      <w:pPr>
        <w:pStyle w:val="a3"/>
        <w:jc w:val="center"/>
        <w:rPr>
          <w:rFonts w:ascii="Calibri" w:hAnsi="Calibri"/>
          <w:sz w:val="24"/>
          <w:szCs w:val="24"/>
        </w:rPr>
      </w:pPr>
      <w:r w:rsidRPr="00E1507D">
        <w:rPr>
          <w:rFonts w:ascii="Calibri" w:hAnsi="Calibri"/>
          <w:b/>
        </w:rPr>
        <w:t>Supplementary Figure 3</w:t>
      </w:r>
      <w:r w:rsidRPr="00E1507D">
        <w:rPr>
          <w:rFonts w:ascii="Calibri" w:hAnsi="Calibri"/>
        </w:rPr>
        <w:t xml:space="preserve"> Data flow and operations</w:t>
      </w:r>
    </w:p>
    <w:p w14:paraId="09905282" w14:textId="77777777" w:rsidR="00A0524B" w:rsidRPr="00A0524B" w:rsidRDefault="00A0524B" w:rsidP="00A0524B">
      <w:pPr>
        <w:rPr>
          <w:rFonts w:cs="Arial"/>
          <w:sz w:val="24"/>
          <w:szCs w:val="24"/>
        </w:rPr>
      </w:pPr>
    </w:p>
    <w:p w14:paraId="00BA0AEA" w14:textId="77777777" w:rsidR="00A0524B" w:rsidRPr="00A0524B" w:rsidRDefault="00A0524B" w:rsidP="00A0524B">
      <w:pPr>
        <w:ind w:firstLine="200"/>
        <w:rPr>
          <w:color w:val="000000"/>
          <w:sz w:val="24"/>
          <w:szCs w:val="24"/>
        </w:rPr>
      </w:pPr>
      <w:r w:rsidRPr="00A0524B">
        <w:rPr>
          <w:color w:val="000000"/>
          <w:sz w:val="24"/>
          <w:szCs w:val="24"/>
        </w:rPr>
        <w:t>In Figure 6, all the nodes represent data and the edges represent the operations. The cycle elements are the RDDs in Spark that are distributed in the executors, the rectangle elements are datasets in the driver’s memory. The operations signed by solid lines represent the transformations in Spark that transfer RDDs to subsequent RDDs and the dotted line edges represent the action operations that convert RDDs into dataset in driver memory.</w:t>
      </w:r>
    </w:p>
    <w:p w14:paraId="091D8ACE" w14:textId="3BC5E485" w:rsidR="00AD22FF" w:rsidRPr="00A0524B" w:rsidRDefault="00AD22FF" w:rsidP="00A0524B">
      <w:pPr>
        <w:rPr>
          <w:b/>
          <w:color w:val="000000" w:themeColor="text1"/>
          <w:sz w:val="24"/>
          <w:szCs w:val="24"/>
        </w:rPr>
      </w:pPr>
    </w:p>
    <w:p w14:paraId="67788866" w14:textId="77777777" w:rsidR="00AD22FF" w:rsidRPr="00A0524B" w:rsidRDefault="00AD22FF" w:rsidP="00A0524B">
      <w:pPr>
        <w:ind w:firstLine="240"/>
        <w:rPr>
          <w:color w:val="000000" w:themeColor="text1"/>
          <w:sz w:val="24"/>
          <w:szCs w:val="24"/>
        </w:rPr>
      </w:pPr>
      <w:r w:rsidRPr="00A0524B">
        <w:rPr>
          <w:b/>
          <w:color w:val="000000" w:themeColor="text1"/>
          <w:sz w:val="24"/>
          <w:szCs w:val="24"/>
        </w:rPr>
        <w:t>Process of Experiment</w:t>
      </w:r>
      <w:r w:rsidRPr="00A0524B">
        <w:rPr>
          <w:b/>
          <w:color w:val="000000" w:themeColor="text1"/>
          <w:sz w:val="24"/>
          <w:szCs w:val="24"/>
        </w:rPr>
        <w:tab/>
      </w:r>
      <w:r w:rsidRPr="00A0524B">
        <w:rPr>
          <w:color w:val="000000" w:themeColor="text1"/>
          <w:sz w:val="24"/>
          <w:szCs w:val="24"/>
        </w:rPr>
        <w:t xml:space="preserve">A dataset contains 600 homologous sequences selected randomly from mt genome </w:t>
      </w:r>
      <w:r w:rsidRPr="00A0524B">
        <w:rPr>
          <w:color w:val="000000" w:themeColor="text1"/>
          <w:sz w:val="24"/>
          <w:szCs w:val="24"/>
        </w:rPr>
        <w:fldChar w:fldCharType="begin" w:fldLock="1"/>
      </w:r>
      <w:r w:rsidRPr="00A0524B">
        <w:rPr>
          <w:color w:val="000000" w:themeColor="text1"/>
          <w:sz w:val="24"/>
          <w:szCs w:val="24"/>
        </w:rPr>
        <w:instrText>ADDIN CSL_CITATION { "citationItems" : [ { "id" : "ITEM-1", "itemData" : { "DOI" : "10.1101/gr.2286304", "ISBN" : "1088-9051 (Print)", "ISSN" : "10889051", "PMID" : "15466285", "abstract" : "To construct an East Asia mitochondrial DNA (mtDNA) phylogeny, we sequenced the complete mitochondrial genomes of 672 Japanese individuals (http://www.giib.or.jp/mtsnp/index_e.html). This allowed us to perform a phylogenetic analysis with a pool of 942 Asiatic sequences. New clades and subclades emerged from the Japanese data. On the basis of this unequivocal phylogeny, we classified 4713 Asian partial mitochondrial sequences, with &lt;10% ambiguity. Applying population and phylogeographic methods, we used these sequences to shed light on the controversial issue of the peopling of Japan. Population-based comparisons confirmed that present-day Japanese have their closest genetic affinity to northern Asian populations, especially to Koreans, which finding is congruent with the proposed Continental gene flow to Japan after the Yayoi period. This phylogeographic approach unraveled a high degree of differentiation in Paleolithic Japanese. Ancient southern and northern migrations were detected based on the existence of basic M and N lineages in Ryukyuans and Ainu. Direct connections with Tibet, parallel to those found for the Y-chromosome, were also apparent. Furthermore, the highest diversity found in Japan for some derived clades suggests that Japan could be included in an area of migratory expansion to Continental Asia. All the theories that have been proposed up to now to explain the peopling of Japan seem insufficient to accommodate fully this complex picture.", "author" : [ { "dropping-particle" : "", "family" : "Tanaka", "given" : "Masashi", "non-dropping-particle" : "", "parse-names" : false, "suffix" : "" }, { "dropping-particle" : "", "family" : "Cabrera", "given" : "Vicente M", "non-dropping-particle" : "", "parse-names" : false, "suffix" : "" }, { "dropping-particle" : "", "family" : "Gonz\u00e1lez", "given" : "Ana M", "non-dropping-particle" : "", "parse-names" : false, "suffix" : "" }, { "dropping-particle" : "", "family" : "Fujita", "given" : "Yasunori", "non-dropping-particle" : "", "parse-names" : false, "suffix" : "" }, { "dropping-particle" : "", "family" : "Kurata", "given" : "Miyuki", "non-dropping-particle" : "", "parse-names" : false, "suffix" : "" }, { "dropping-particle" : "", "family" : "Shinoda", "given" : "Ken-Ichi", "non-dropping-particle" : "", "parse-names" : false, "suffix" : "" }, { "dropping-particle" : "", "family" : "Umetsu", "given" : "Kazuo", "non-dropping-particle" : "", "parse-names" : false, "suffix" : "" }, { "dropping-particle" : "", "family" : "Yamada", "given" : "Yoshiji", "non-dropping-particle" : "", "parse-names" : false, "suffix" : "" } ], "container-title" : "Genome Research", "id" : "ITEM-1", "issued" : { "date-parts" : [ [ "2004" ] ] }, "page" : "1832-1850", "title" : "Mitochondrial Genome Variation in Eastern Asia and the Peopling of Japan Mitochondrial Genome Variation in Eastern Asia and the Peopling of Japan", "type" : "article-journal" }, "uris" : [ "http://www.mendeley.com/documents/?uuid=07f70acb-f54f-4cde-9f17-fce72781421c" ] } ], "mendeley" : { "formattedCitation" : "(Tanaka &lt;i&gt;et al.&lt;/i&gt;, 2004)", "plainTextFormattedCitation" : "(Tanaka et al., 2004)", "previouslyFormattedCitation" : "(Tanaka &lt;i&gt;et al.&lt;/i&gt;, 2004)" }, "properties" : { "noteIndex" : 0 }, "schema" : "https://github.com/citation-style-language/schema/raw/master/csl-citation.json" }</w:instrText>
      </w:r>
      <w:r w:rsidRPr="00A0524B">
        <w:rPr>
          <w:color w:val="000000" w:themeColor="text1"/>
          <w:sz w:val="24"/>
          <w:szCs w:val="24"/>
        </w:rPr>
        <w:fldChar w:fldCharType="separate"/>
      </w:r>
      <w:r w:rsidRPr="00A0524B">
        <w:rPr>
          <w:noProof/>
          <w:color w:val="000000" w:themeColor="text1"/>
          <w:sz w:val="24"/>
          <w:szCs w:val="24"/>
        </w:rPr>
        <w:t xml:space="preserve">(Tanaka </w:t>
      </w:r>
      <w:r w:rsidRPr="00A0524B">
        <w:rPr>
          <w:i/>
          <w:noProof/>
          <w:color w:val="000000" w:themeColor="text1"/>
          <w:sz w:val="24"/>
          <w:szCs w:val="24"/>
        </w:rPr>
        <w:t>et al.</w:t>
      </w:r>
      <w:r w:rsidRPr="00A0524B">
        <w:rPr>
          <w:noProof/>
          <w:color w:val="000000" w:themeColor="text1"/>
          <w:sz w:val="24"/>
          <w:szCs w:val="24"/>
        </w:rPr>
        <w:t>, 2004)</w:t>
      </w:r>
      <w:r w:rsidRPr="00A0524B">
        <w:rPr>
          <w:color w:val="000000" w:themeColor="text1"/>
          <w:sz w:val="24"/>
          <w:szCs w:val="24"/>
        </w:rPr>
        <w:fldChar w:fldCharType="end"/>
      </w:r>
      <w:r w:rsidRPr="00A0524B">
        <w:rPr>
          <w:color w:val="000000" w:themeColor="text1"/>
          <w:sz w:val="24"/>
          <w:szCs w:val="24"/>
        </w:rPr>
        <w:t xml:space="preserve"> dataset is used to execute 600 center-star MSA, which use every sequence in the set as center. Then the results of these experiments are quantitatively assessed as raw score, here, SP score </w:t>
      </w:r>
      <w:r w:rsidRPr="00A0524B">
        <w:rPr>
          <w:color w:val="000000" w:themeColor="text1"/>
          <w:sz w:val="24"/>
          <w:szCs w:val="24"/>
        </w:rPr>
        <w:fldChar w:fldCharType="begin" w:fldLock="1"/>
      </w:r>
      <w:r w:rsidRPr="00A0524B">
        <w:rPr>
          <w:color w:val="000000" w:themeColor="text1"/>
          <w:sz w:val="24"/>
          <w:szCs w:val="24"/>
        </w:rPr>
        <w:instrText>ADDIN CSL_CITATION { "citationItems" : [ { "id" : "ITEM-1", "itemData" : { "ISSN" : "03722112", "author" : [ { "dropping-particle" : "", "family" : "Zou", "given" : "Quan", "non-dropping-particle" : "", "parse-names" : false, "suffix" : "" }, { "dropping-particle" : "", "family" : "Guo", "given" : "Mao-zu", "non-dropping-particle" : "", "parse-names" : false, "suffix" : "" }, { "dropping-particle" : "", "family" : "Xiao-kai", "given" : "Wang", "non-dropping-particle" : "", "parse-names" : false, "suffix" : "" }, { "dropping-particle" : "", "family" : "Tao-tao", "given" : "Zang", "non-dropping-particle" : "", "parse-names" : false, "suffix" : "" } ], "container-title" : "Acta Electronica Sinica", "id" : "ITEM-1", "issue" : "August", "issued" : { "date-parts" : [ [ "2009" ] ] }, "page" : "1746-1750", "title" : "An Algorithm for DNA Multiple Sequence Alignment Based on Center Star Method and Keyword Tree", "type" : "article", "volume" : "38" }, "uris" : [ "http://www.mendeley.com/documents/?uuid=a6ca781b-4de8-4551-a06e-7bd3ae0d0da4" ] } ], "mendeley" : { "formattedCitation" : "(Zou &lt;i&gt;et al.&lt;/i&gt;, 2009)", "plainTextFormattedCitation" : "(Zou et al., 2009)", "previouslyFormattedCitation" : "(Zou &lt;i&gt;et al.&lt;/i&gt;, 2009)" }, "properties" : { "noteIndex" : 0 }, "schema" : "https://github.com/citation-style-language/schema/raw/master/csl-citation.json" }</w:instrText>
      </w:r>
      <w:r w:rsidRPr="00A0524B">
        <w:rPr>
          <w:color w:val="000000" w:themeColor="text1"/>
          <w:sz w:val="24"/>
          <w:szCs w:val="24"/>
        </w:rPr>
        <w:fldChar w:fldCharType="separate"/>
      </w:r>
      <w:r w:rsidRPr="00A0524B">
        <w:rPr>
          <w:noProof/>
          <w:color w:val="000000" w:themeColor="text1"/>
          <w:sz w:val="24"/>
          <w:szCs w:val="24"/>
        </w:rPr>
        <w:t xml:space="preserve">(Zou </w:t>
      </w:r>
      <w:r w:rsidRPr="00A0524B">
        <w:rPr>
          <w:i/>
          <w:noProof/>
          <w:color w:val="000000" w:themeColor="text1"/>
          <w:sz w:val="24"/>
          <w:szCs w:val="24"/>
        </w:rPr>
        <w:t>et al.</w:t>
      </w:r>
      <w:r w:rsidRPr="00A0524B">
        <w:rPr>
          <w:noProof/>
          <w:color w:val="000000" w:themeColor="text1"/>
          <w:sz w:val="24"/>
          <w:szCs w:val="24"/>
        </w:rPr>
        <w:t>, 2009)</w:t>
      </w:r>
      <w:r w:rsidRPr="00A0524B">
        <w:rPr>
          <w:color w:val="000000" w:themeColor="text1"/>
          <w:sz w:val="24"/>
          <w:szCs w:val="24"/>
        </w:rPr>
        <w:fldChar w:fldCharType="end"/>
      </w:r>
      <w:r w:rsidRPr="00A0524B">
        <w:rPr>
          <w:color w:val="000000" w:themeColor="text1"/>
          <w:sz w:val="24"/>
          <w:szCs w:val="24"/>
        </w:rPr>
        <w:t xml:space="preserve"> is used. </w:t>
      </w:r>
    </w:p>
    <w:p w14:paraId="16159CCE" w14:textId="77777777" w:rsidR="00AD22FF" w:rsidRPr="00A0524B" w:rsidRDefault="00AD22FF" w:rsidP="00A0524B">
      <w:pPr>
        <w:ind w:firstLine="240"/>
        <w:rPr>
          <w:b/>
          <w:color w:val="000000" w:themeColor="text1"/>
          <w:sz w:val="24"/>
          <w:szCs w:val="24"/>
        </w:rPr>
      </w:pPr>
    </w:p>
    <w:p w14:paraId="562D45F4" w14:textId="77777777" w:rsidR="00AD22FF" w:rsidRPr="00A0524B" w:rsidRDefault="00AD22FF" w:rsidP="00A0524B">
      <w:pPr>
        <w:ind w:firstLine="240"/>
        <w:rPr>
          <w:color w:val="000000" w:themeColor="text1"/>
          <w:sz w:val="24"/>
          <w:szCs w:val="24"/>
        </w:rPr>
      </w:pPr>
      <w:r w:rsidRPr="00A0524B">
        <w:rPr>
          <w:b/>
          <w:color w:val="000000" w:themeColor="text1"/>
          <w:sz w:val="24"/>
          <w:szCs w:val="24"/>
        </w:rPr>
        <w:t xml:space="preserve">Transformation of SP score to Z score </w:t>
      </w:r>
      <w:r w:rsidRPr="00A0524B">
        <w:rPr>
          <w:color w:val="000000" w:themeColor="text1"/>
          <w:sz w:val="24"/>
          <w:szCs w:val="24"/>
        </w:rPr>
        <w:t>SP score was normalized and transformed into a z-score. The formula is as following:</w:t>
      </w:r>
    </w:p>
    <w:p w14:paraId="21E1878C" w14:textId="77777777" w:rsidR="00AD22FF" w:rsidRPr="00A0524B" w:rsidRDefault="00AD22FF" w:rsidP="00A0524B">
      <w:pPr>
        <w:rPr>
          <w:color w:val="000000" w:themeColor="text1"/>
          <w:sz w:val="24"/>
          <w:szCs w:val="24"/>
        </w:rPr>
      </w:pPr>
      <w:r w:rsidRPr="00A0524B">
        <w:rPr>
          <w:color w:val="000000" w:themeColor="text1"/>
          <w:sz w:val="24"/>
          <w:szCs w:val="24"/>
        </w:rPr>
        <w:t>Given,</w:t>
      </w:r>
    </w:p>
    <w:p w14:paraId="6419BA88" w14:textId="77777777" w:rsidR="00AD22FF" w:rsidRPr="00A0524B" w:rsidRDefault="00AD22FF" w:rsidP="00A0524B">
      <w:pPr>
        <w:rPr>
          <w:color w:val="000000" w:themeColor="text1"/>
          <w:sz w:val="24"/>
          <w:szCs w:val="24"/>
        </w:rPr>
      </w:pPr>
      <w:r w:rsidRPr="00A0524B">
        <w:rPr>
          <w:color w:val="000000" w:themeColor="text1"/>
          <w:sz w:val="24"/>
          <w:szCs w:val="24"/>
        </w:rPr>
        <w:tab/>
      </w:r>
      <m:oMath>
        <m:r>
          <w:rPr>
            <w:rFonts w:ascii="Cambria Math" w:hAnsi="Cambria Math"/>
            <w:color w:val="000000" w:themeColor="text1"/>
            <w:sz w:val="24"/>
            <w:szCs w:val="24"/>
          </w:rPr>
          <m:t>sp</m:t>
        </m:r>
        <m:d>
          <m:dPr>
            <m:ctrlPr>
              <w:rPr>
                <w:rFonts w:ascii="Cambria Math" w:hAnsi="Cambria Math"/>
                <w:i/>
                <w:color w:val="000000" w:themeColor="text1"/>
                <w:sz w:val="24"/>
                <w:szCs w:val="24"/>
              </w:rPr>
            </m:ctrlPr>
          </m:dPr>
          <m:e>
            <m:r>
              <w:rPr>
                <w:rFonts w:ascii="Cambria Math" w:hAnsi="Cambria Math"/>
                <w:color w:val="000000" w:themeColor="text1"/>
                <w:sz w:val="24"/>
                <w:szCs w:val="24"/>
              </w:rPr>
              <m:t>s</m:t>
            </m:r>
          </m:e>
        </m:d>
        <m:r>
          <w:rPr>
            <w:rFonts w:ascii="Cambria Math" w:hAnsi="Cambria Math"/>
            <w:color w:val="000000" w:themeColor="text1"/>
            <w:sz w:val="24"/>
            <w:szCs w:val="24"/>
          </w:rPr>
          <m:t>=the SP score of the MS</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A</m:t>
            </m:r>
          </m:e>
          <m:sup>
            <m:r>
              <w:rPr>
                <w:rFonts w:ascii="Cambria Math" w:hAnsi="Cambria Math"/>
                <w:color w:val="000000" w:themeColor="text1"/>
                <w:sz w:val="24"/>
                <w:szCs w:val="24"/>
              </w:rPr>
              <m:t>'</m:t>
            </m:r>
          </m:sup>
        </m:sSup>
        <m:r>
          <w:rPr>
            <w:rFonts w:ascii="Cambria Math" w:hAnsi="Cambria Math"/>
            <w:color w:val="000000" w:themeColor="text1"/>
            <w:sz w:val="24"/>
            <w:szCs w:val="24"/>
          </w:rPr>
          <m:t xml:space="preserve">s result which use </m:t>
        </m:r>
        <m:r>
          <m:rPr>
            <m:sty m:val="bi"/>
          </m:rPr>
          <w:rPr>
            <w:rFonts w:ascii="Cambria Math" w:hAnsi="Cambria Math"/>
            <w:color w:val="000000" w:themeColor="text1"/>
            <w:sz w:val="24"/>
            <w:szCs w:val="24"/>
          </w:rPr>
          <m:t>s</m:t>
        </m:r>
        <m:r>
          <w:rPr>
            <w:rFonts w:ascii="Cambria Math" w:hAnsi="Cambria Math"/>
            <w:color w:val="000000" w:themeColor="text1"/>
            <w:sz w:val="24"/>
            <w:szCs w:val="24"/>
          </w:rPr>
          <m:t xml:space="preserve"> as center </m:t>
        </m:r>
      </m:oMath>
    </w:p>
    <w:p w14:paraId="4A15E7D8" w14:textId="77777777" w:rsidR="00AD22FF" w:rsidRPr="00A0524B" w:rsidRDefault="00AD22FF" w:rsidP="00A0524B">
      <w:pPr>
        <w:rPr>
          <w:color w:val="000000" w:themeColor="text1"/>
          <w:sz w:val="24"/>
          <w:szCs w:val="24"/>
        </w:rPr>
      </w:pPr>
      <w:r w:rsidRPr="00A0524B">
        <w:rPr>
          <w:color w:val="000000" w:themeColor="text1"/>
          <w:sz w:val="24"/>
          <w:szCs w:val="24"/>
        </w:rPr>
        <w:tab/>
      </w:r>
      <m:oMath>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sp</m:t>
            </m:r>
          </m:e>
        </m:acc>
        <m:r>
          <w:rPr>
            <w:rFonts w:ascii="Cambria Math" w:hAnsi="Cambria Math"/>
            <w:color w:val="000000" w:themeColor="text1"/>
            <w:sz w:val="24"/>
            <w:szCs w:val="24"/>
          </w:rPr>
          <m:t>=</m:t>
        </m:r>
        <m:nary>
          <m:naryPr>
            <m:chr m:val="∑"/>
            <m:limLoc m:val="undOvr"/>
            <m:supHide m:val="1"/>
            <m:ctrlPr>
              <w:rPr>
                <w:rFonts w:ascii="Cambria Math" w:hAnsi="Cambria Math"/>
                <w:i/>
                <w:color w:val="000000" w:themeColor="text1"/>
                <w:sz w:val="24"/>
                <w:szCs w:val="24"/>
              </w:rPr>
            </m:ctrlPr>
          </m:naryPr>
          <m:sub>
            <m:r>
              <w:rPr>
                <w:rFonts w:ascii="Cambria Math" w:hAnsi="Cambria Math"/>
                <w:color w:val="000000" w:themeColor="text1"/>
                <w:sz w:val="24"/>
                <w:szCs w:val="24"/>
              </w:rPr>
              <m:t>every s</m:t>
            </m:r>
          </m:sub>
          <m:sup/>
          <m:e>
            <m:r>
              <w:rPr>
                <w:rFonts w:ascii="Cambria Math" w:hAnsi="Cambria Math"/>
                <w:color w:val="000000" w:themeColor="text1"/>
                <w:sz w:val="24"/>
                <w:szCs w:val="24"/>
              </w:rPr>
              <m:t>sp(s)</m:t>
            </m:r>
          </m:e>
        </m:nary>
        <m:r>
          <w:rPr>
            <w:rFonts w:ascii="Cambria Math" w:hAnsi="Cambria Math"/>
            <w:color w:val="000000" w:themeColor="text1"/>
            <w:sz w:val="24"/>
            <w:szCs w:val="24"/>
          </w:rPr>
          <m:t>=15775.38</m:t>
        </m:r>
      </m:oMath>
      <w:r w:rsidRPr="00A0524B">
        <w:rPr>
          <w:color w:val="000000" w:themeColor="text1"/>
          <w:sz w:val="24"/>
          <w:szCs w:val="24"/>
        </w:rPr>
        <w:t xml:space="preserve"> [Sample SP score mean]</w:t>
      </w:r>
    </w:p>
    <w:p w14:paraId="456C2DA6" w14:textId="77777777" w:rsidR="00AD22FF" w:rsidRPr="00A0524B" w:rsidRDefault="00AD22FF" w:rsidP="00A0524B">
      <w:pPr>
        <w:rPr>
          <w:color w:val="000000" w:themeColor="text1"/>
          <w:sz w:val="24"/>
          <w:szCs w:val="24"/>
        </w:rPr>
      </w:pPr>
      <w:r w:rsidRPr="00A0524B">
        <w:rPr>
          <w:color w:val="000000" w:themeColor="text1"/>
          <w:sz w:val="24"/>
          <w:szCs w:val="24"/>
        </w:rPr>
        <w:tab/>
      </w:r>
      <m:oMath>
        <m:r>
          <w:rPr>
            <w:rFonts w:ascii="Cambria Math" w:hAnsi="Cambria Math"/>
            <w:color w:val="000000" w:themeColor="text1"/>
            <w:sz w:val="24"/>
            <w:szCs w:val="24"/>
          </w:rPr>
          <m:t>σ=</m:t>
        </m:r>
        <m:rad>
          <m:radPr>
            <m:degHide m:val="1"/>
            <m:ctrlPr>
              <w:rPr>
                <w:rFonts w:ascii="Cambria Math" w:hAnsi="Cambria Math"/>
                <w:i/>
                <w:color w:val="000000" w:themeColor="text1"/>
                <w:sz w:val="24"/>
                <w:szCs w:val="24"/>
              </w:rPr>
            </m:ctrlPr>
          </m:radPr>
          <m:deg/>
          <m:e>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599</m:t>
                </m:r>
              </m:den>
            </m:f>
            <m:nary>
              <m:naryPr>
                <m:chr m:val="∑"/>
                <m:limLoc m:val="undOvr"/>
                <m:ctrlPr>
                  <w:rPr>
                    <w:rFonts w:ascii="Cambria Math" w:hAnsi="Cambria Math"/>
                    <w:i/>
                    <w:color w:val="000000" w:themeColor="text1"/>
                    <w:sz w:val="24"/>
                    <w:szCs w:val="24"/>
                  </w:rPr>
                </m:ctrlPr>
              </m:naryPr>
              <m:sub>
                <m:r>
                  <w:rPr>
                    <w:rFonts w:ascii="Cambria Math" w:hAnsi="Cambria Math"/>
                    <w:color w:val="000000" w:themeColor="text1"/>
                    <w:sz w:val="24"/>
                    <w:szCs w:val="24"/>
                  </w:rPr>
                  <m:t>i=1</m:t>
                </m:r>
              </m:sub>
              <m:sup>
                <m:r>
                  <w:rPr>
                    <w:rFonts w:ascii="Cambria Math" w:hAnsi="Cambria Math"/>
                    <w:color w:val="000000" w:themeColor="text1"/>
                    <w:sz w:val="24"/>
                    <w:szCs w:val="24"/>
                  </w:rPr>
                  <m:t>600</m:t>
                </m:r>
              </m:sup>
              <m:e>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(sp</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s</m:t>
                            </m:r>
                          </m:e>
                          <m:sub>
                            <m:r>
                              <w:rPr>
                                <w:rFonts w:ascii="Cambria Math" w:hAnsi="Cambria Math"/>
                                <w:color w:val="000000" w:themeColor="text1"/>
                                <w:sz w:val="24"/>
                                <w:szCs w:val="24"/>
                              </w:rPr>
                              <m:t>i</m:t>
                            </m:r>
                          </m:sub>
                        </m:sSub>
                      </m:e>
                    </m:d>
                    <m:r>
                      <w:rPr>
                        <w:rFonts w:ascii="Cambria Math" w:hAnsi="Cambria Math"/>
                        <w:color w:val="000000" w:themeColor="text1"/>
                        <w:sz w:val="24"/>
                        <w:szCs w:val="24"/>
                      </w:rPr>
                      <m:t>-</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sp</m:t>
                        </m:r>
                      </m:e>
                    </m:acc>
                    <m:r>
                      <w:rPr>
                        <w:rFonts w:ascii="Cambria Math" w:hAnsi="Cambria Math"/>
                        <w:color w:val="000000" w:themeColor="text1"/>
                        <w:sz w:val="24"/>
                        <w:szCs w:val="24"/>
                      </w:rPr>
                      <m:t>)</m:t>
                    </m:r>
                  </m:e>
                  <m:sup>
                    <m:r>
                      <w:rPr>
                        <w:rFonts w:ascii="Cambria Math" w:hAnsi="Cambria Math"/>
                        <w:color w:val="000000" w:themeColor="text1"/>
                        <w:sz w:val="24"/>
                        <w:szCs w:val="24"/>
                      </w:rPr>
                      <m:t>2</m:t>
                    </m:r>
                  </m:sup>
                </m:sSup>
              </m:e>
            </m:nary>
          </m:e>
        </m:rad>
        <m:r>
          <w:rPr>
            <w:rFonts w:ascii="Cambria Math" w:hAnsi="Cambria Math"/>
            <w:color w:val="000000" w:themeColor="text1"/>
            <w:sz w:val="24"/>
            <w:szCs w:val="24"/>
          </w:rPr>
          <m:t>=322.7115</m:t>
        </m:r>
      </m:oMath>
      <w:r w:rsidRPr="00A0524B">
        <w:rPr>
          <w:color w:val="000000" w:themeColor="text1"/>
          <w:sz w:val="24"/>
          <w:szCs w:val="24"/>
        </w:rPr>
        <w:t xml:space="preserve"> [Sample SP score std. dev]</w:t>
      </w:r>
    </w:p>
    <w:p w14:paraId="62200D86" w14:textId="77777777" w:rsidR="00AD22FF" w:rsidRPr="00A0524B" w:rsidRDefault="00AD22FF" w:rsidP="00A0524B">
      <w:pPr>
        <w:rPr>
          <w:color w:val="000000" w:themeColor="text1"/>
          <w:sz w:val="24"/>
          <w:szCs w:val="24"/>
        </w:rPr>
      </w:pPr>
      <w:r w:rsidRPr="00A0524B">
        <w:rPr>
          <w:color w:val="000000" w:themeColor="text1"/>
          <w:sz w:val="24"/>
          <w:szCs w:val="24"/>
        </w:rPr>
        <w:t>Then,</w:t>
      </w:r>
    </w:p>
    <w:p w14:paraId="02B3ADD1" w14:textId="77777777" w:rsidR="00AD22FF" w:rsidRPr="00A0524B" w:rsidRDefault="00AD22FF" w:rsidP="00A0524B">
      <w:pPr>
        <w:rPr>
          <w:color w:val="000000" w:themeColor="text1"/>
          <w:sz w:val="24"/>
          <w:szCs w:val="24"/>
        </w:rPr>
      </w:pPr>
      <w:r w:rsidRPr="00A0524B">
        <w:rPr>
          <w:color w:val="000000" w:themeColor="text1"/>
          <w:sz w:val="24"/>
          <w:szCs w:val="24"/>
        </w:rPr>
        <w:tab/>
      </w:r>
      <m:oMath>
        <m:r>
          <w:rPr>
            <w:rFonts w:ascii="Cambria Math" w:hAnsi="Cambria Math"/>
            <w:color w:val="000000" w:themeColor="text1"/>
            <w:sz w:val="24"/>
            <w:szCs w:val="24"/>
          </w:rPr>
          <m:t>Z</m:t>
        </m:r>
        <m:d>
          <m:dPr>
            <m:ctrlPr>
              <w:rPr>
                <w:rFonts w:ascii="Cambria Math" w:hAnsi="Cambria Math"/>
                <w:i/>
                <w:color w:val="000000" w:themeColor="text1"/>
                <w:sz w:val="24"/>
                <w:szCs w:val="24"/>
              </w:rPr>
            </m:ctrlPr>
          </m:dPr>
          <m:e>
            <m:r>
              <w:rPr>
                <w:rFonts w:ascii="Cambria Math" w:hAnsi="Cambria Math"/>
                <w:color w:val="000000" w:themeColor="text1"/>
                <w:sz w:val="24"/>
                <w:szCs w:val="24"/>
              </w:rPr>
              <m:t>s</m:t>
            </m:r>
          </m:e>
        </m:d>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sp</m:t>
            </m:r>
            <m:d>
              <m:dPr>
                <m:ctrlPr>
                  <w:rPr>
                    <w:rFonts w:ascii="Cambria Math" w:hAnsi="Cambria Math"/>
                    <w:i/>
                    <w:color w:val="000000" w:themeColor="text1"/>
                    <w:sz w:val="24"/>
                    <w:szCs w:val="24"/>
                  </w:rPr>
                </m:ctrlPr>
              </m:dPr>
              <m:e>
                <m:r>
                  <w:rPr>
                    <w:rFonts w:ascii="Cambria Math" w:hAnsi="Cambria Math"/>
                    <w:color w:val="000000" w:themeColor="text1"/>
                    <w:sz w:val="24"/>
                    <w:szCs w:val="24"/>
                  </w:rPr>
                  <m:t>s</m:t>
                </m:r>
              </m:e>
            </m:d>
            <m:r>
              <w:rPr>
                <w:rFonts w:ascii="Cambria Math" w:hAnsi="Cambria Math"/>
                <w:color w:val="000000" w:themeColor="text1"/>
                <w:sz w:val="24"/>
                <w:szCs w:val="24"/>
              </w:rPr>
              <m:t>-</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sp</m:t>
                </m:r>
              </m:e>
            </m:acc>
          </m:num>
          <m:den>
            <m:r>
              <w:rPr>
                <w:rFonts w:ascii="Cambria Math" w:hAnsi="Cambria Math"/>
                <w:color w:val="000000" w:themeColor="text1"/>
                <w:sz w:val="24"/>
                <w:szCs w:val="24"/>
              </w:rPr>
              <m:t>σ</m:t>
            </m:r>
          </m:den>
        </m:f>
      </m:oMath>
    </w:p>
    <w:p w14:paraId="421FE020" w14:textId="77777777" w:rsidR="00AD22FF" w:rsidRPr="00A0524B" w:rsidRDefault="00AD22FF" w:rsidP="00A0524B">
      <w:pPr>
        <w:rPr>
          <w:b/>
          <w:color w:val="000000" w:themeColor="text1"/>
          <w:sz w:val="24"/>
          <w:szCs w:val="24"/>
        </w:rPr>
      </w:pPr>
    </w:p>
    <w:p w14:paraId="5BE6041E" w14:textId="77777777" w:rsidR="00AD22FF" w:rsidRPr="00A0524B" w:rsidRDefault="00AD22FF" w:rsidP="00A0524B">
      <w:pPr>
        <w:ind w:firstLine="240"/>
        <w:rPr>
          <w:b/>
          <w:color w:val="000000" w:themeColor="text1"/>
          <w:sz w:val="24"/>
          <w:szCs w:val="24"/>
        </w:rPr>
      </w:pPr>
      <w:r w:rsidRPr="00A0524B">
        <w:rPr>
          <w:color w:val="000000" w:themeColor="text1"/>
          <w:sz w:val="24"/>
          <w:szCs w:val="24"/>
        </w:rPr>
        <w:t>The distribution of these normalized SP scores is shown in Supplementary Figure 1.</w:t>
      </w:r>
    </w:p>
    <w:p w14:paraId="2238D13C" w14:textId="77777777" w:rsidR="00AD22FF" w:rsidRPr="00A0524B" w:rsidRDefault="00AD22FF" w:rsidP="00A0524B">
      <w:pPr>
        <w:keepNext/>
        <w:ind w:firstLineChars="100" w:firstLine="240"/>
        <w:jc w:val="center"/>
      </w:pPr>
      <w:r w:rsidRPr="00A0524B">
        <w:rPr>
          <w:noProof/>
          <w:color w:val="000000" w:themeColor="text1"/>
          <w:sz w:val="24"/>
          <w:szCs w:val="24"/>
        </w:rPr>
        <w:drawing>
          <wp:inline distT="0" distB="0" distL="0" distR="0" wp14:anchorId="432F393B" wp14:editId="05B36C7F">
            <wp:extent cx="4122821" cy="3069089"/>
            <wp:effectExtent l="0" t="0" r="0" b="4445"/>
            <wp:docPr id="7" name="图片 7" descr="Distribution%20of%20SP.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ion%20of%20SP.pdf"/>
                    <pic:cNvPicPr>
                      <a:picLocks noChangeAspect="1" noChangeArrowheads="1"/>
                    </pic:cNvPicPr>
                  </pic:nvPicPr>
                  <pic:blipFill rotWithShape="1">
                    <a:blip r:embed="rId6">
                      <a:extLst>
                        <a:ext uri="{28A0092B-C50C-407E-A947-70E740481C1C}">
                          <a14:useLocalDpi xmlns:a14="http://schemas.microsoft.com/office/drawing/2010/main" val="0"/>
                        </a:ext>
                      </a:extLst>
                    </a:blip>
                    <a:srcRect t="4448" r="1627" b="4368"/>
                    <a:stretch/>
                  </pic:blipFill>
                  <pic:spPr bwMode="auto">
                    <a:xfrm>
                      <a:off x="0" y="0"/>
                      <a:ext cx="4132340" cy="3076175"/>
                    </a:xfrm>
                    <a:prstGeom prst="rect">
                      <a:avLst/>
                    </a:prstGeom>
                    <a:noFill/>
                    <a:ln>
                      <a:noFill/>
                    </a:ln>
                    <a:extLst>
                      <a:ext uri="{53640926-AAD7-44D8-BBD7-CCE9431645EC}">
                        <a14:shadowObscured xmlns:a14="http://schemas.microsoft.com/office/drawing/2010/main"/>
                      </a:ext>
                    </a:extLst>
                  </pic:spPr>
                </pic:pic>
              </a:graphicData>
            </a:graphic>
          </wp:inline>
        </w:drawing>
      </w:r>
    </w:p>
    <w:p w14:paraId="78BFB892" w14:textId="77777777" w:rsidR="00AD22FF" w:rsidRPr="00A0524B" w:rsidRDefault="00AD22FF" w:rsidP="00A0524B">
      <w:pPr>
        <w:pStyle w:val="a3"/>
        <w:jc w:val="center"/>
        <w:rPr>
          <w:rFonts w:ascii="Calibri" w:hAnsi="Calibri"/>
        </w:rPr>
      </w:pPr>
      <w:r w:rsidRPr="00A0524B">
        <w:rPr>
          <w:rFonts w:ascii="Calibri" w:hAnsi="Calibri"/>
          <w:b/>
        </w:rPr>
        <w:t xml:space="preserve">Supplementary Figure </w:t>
      </w:r>
      <w:r w:rsidRPr="00A0524B">
        <w:rPr>
          <w:rFonts w:ascii="Calibri" w:hAnsi="Calibri"/>
          <w:b/>
        </w:rPr>
        <w:fldChar w:fldCharType="begin"/>
      </w:r>
      <w:r w:rsidRPr="00A0524B">
        <w:rPr>
          <w:rFonts w:ascii="Calibri" w:hAnsi="Calibri"/>
          <w:b/>
        </w:rPr>
        <w:instrText xml:space="preserve"> SEQ Supplementary_Figure \* ARABIC </w:instrText>
      </w:r>
      <w:r w:rsidRPr="00A0524B">
        <w:rPr>
          <w:rFonts w:ascii="Calibri" w:hAnsi="Calibri"/>
          <w:b/>
        </w:rPr>
        <w:fldChar w:fldCharType="separate"/>
      </w:r>
      <w:r w:rsidR="00E1507D">
        <w:rPr>
          <w:rFonts w:ascii="Calibri" w:hAnsi="Calibri"/>
          <w:b/>
          <w:noProof/>
        </w:rPr>
        <w:t>2</w:t>
      </w:r>
      <w:r w:rsidRPr="00A0524B">
        <w:rPr>
          <w:rFonts w:ascii="Calibri" w:hAnsi="Calibri"/>
          <w:b/>
        </w:rPr>
        <w:fldChar w:fldCharType="end"/>
      </w:r>
      <w:r w:rsidRPr="00A0524B">
        <w:rPr>
          <w:rFonts w:ascii="Calibri" w:hAnsi="Calibri"/>
        </w:rPr>
        <w:t xml:space="preserve"> The distribution of normalized SP score</w:t>
      </w:r>
    </w:p>
    <w:p w14:paraId="6E18A7B5" w14:textId="77777777" w:rsidR="00AD22FF" w:rsidRPr="00A0524B" w:rsidRDefault="00AD22FF" w:rsidP="00A0524B">
      <w:r w:rsidRPr="00A0524B">
        <w:tab/>
        <w:t>When a MSA is carried out with a random selected center sequence, the probability of Z-score less than 4, which means the SP score is less than 17063, is 0.9983. The SP of the result of MAFFT and KAlign is between 16500 and 17000.</w:t>
      </w:r>
    </w:p>
    <w:p w14:paraId="42E6AF88" w14:textId="77777777" w:rsidR="00AD22FF" w:rsidRPr="00A0524B" w:rsidRDefault="00AD22FF" w:rsidP="00A0524B"/>
    <w:p w14:paraId="26E8DA16" w14:textId="77777777" w:rsidR="00AD22FF" w:rsidRPr="00A0524B" w:rsidRDefault="00AD22FF" w:rsidP="00A0524B"/>
    <w:p w14:paraId="4E034420" w14:textId="77777777" w:rsidR="00AD22FF" w:rsidRPr="00A0524B" w:rsidRDefault="00AD22FF" w:rsidP="00A0524B"/>
    <w:p w14:paraId="6E595A10" w14:textId="77777777" w:rsidR="00AD22FF" w:rsidRPr="00A0524B" w:rsidRDefault="00AD22FF" w:rsidP="00A0524B"/>
    <w:p w14:paraId="74E0FADD" w14:textId="77777777" w:rsidR="00AD22FF" w:rsidRPr="00A0524B" w:rsidRDefault="00AD22FF" w:rsidP="00A0524B"/>
    <w:p w14:paraId="7604F594" w14:textId="77777777" w:rsidR="00AD22FF" w:rsidRPr="00A0524B" w:rsidRDefault="00AD22FF" w:rsidP="00A0524B">
      <w:pPr>
        <w:rPr>
          <w:b/>
        </w:rPr>
      </w:pPr>
    </w:p>
    <w:p w14:paraId="374E345D" w14:textId="77777777" w:rsidR="00AD22FF" w:rsidRPr="00A0524B" w:rsidRDefault="00AD22FF" w:rsidP="00A0524B">
      <w:pPr>
        <w:rPr>
          <w:b/>
        </w:rPr>
      </w:pPr>
      <w:r w:rsidRPr="00A0524B">
        <w:rPr>
          <w:b/>
        </w:rPr>
        <w:t>Bibliography</w:t>
      </w:r>
    </w:p>
    <w:p w14:paraId="4E3BA887" w14:textId="77777777" w:rsidR="00AD22FF" w:rsidRPr="00A0524B" w:rsidRDefault="00AD22FF" w:rsidP="00A0524B">
      <w:pPr>
        <w:autoSpaceDE w:val="0"/>
        <w:autoSpaceDN w:val="0"/>
        <w:adjustRightInd w:val="0"/>
        <w:ind w:left="480" w:hanging="480"/>
        <w:jc w:val="left"/>
        <w:rPr>
          <w:rFonts w:eastAsia="Times New Roman"/>
          <w:noProof/>
          <w:kern w:val="0"/>
          <w:sz w:val="20"/>
        </w:rPr>
      </w:pPr>
      <w:r w:rsidRPr="00A0524B">
        <w:fldChar w:fldCharType="begin" w:fldLock="1"/>
      </w:r>
      <w:r w:rsidRPr="00A0524B">
        <w:instrText xml:space="preserve">ADDIN Mendeley Bibliography CSL_BIBLIOGRAPHY </w:instrText>
      </w:r>
      <w:r w:rsidRPr="00A0524B">
        <w:fldChar w:fldCharType="separate"/>
      </w:r>
      <w:r w:rsidRPr="00A0524B">
        <w:rPr>
          <w:rFonts w:eastAsia="Times New Roman"/>
          <w:noProof/>
          <w:kern w:val="0"/>
          <w:sz w:val="20"/>
        </w:rPr>
        <w:t xml:space="preserve">Tanaka,M. </w:t>
      </w:r>
      <w:r w:rsidRPr="00A0524B">
        <w:rPr>
          <w:rFonts w:eastAsia="Times New Roman"/>
          <w:i/>
          <w:iCs/>
          <w:noProof/>
          <w:kern w:val="0"/>
          <w:sz w:val="20"/>
        </w:rPr>
        <w:t>et al.</w:t>
      </w:r>
      <w:r w:rsidRPr="00A0524B">
        <w:rPr>
          <w:rFonts w:eastAsia="Times New Roman"/>
          <w:noProof/>
          <w:kern w:val="0"/>
          <w:sz w:val="20"/>
        </w:rPr>
        <w:t xml:space="preserve"> (2004) Mitochondrial Genome Variation in Eastern Asia and the Peopling of Japan Mitochondrial Genome Variation in Eastern Asia and the Peopling of Japan. </w:t>
      </w:r>
      <w:r w:rsidRPr="00A0524B">
        <w:rPr>
          <w:rFonts w:eastAsia="Times New Roman"/>
          <w:i/>
          <w:iCs/>
          <w:noProof/>
          <w:kern w:val="0"/>
          <w:sz w:val="20"/>
        </w:rPr>
        <w:t>Genome Res.</w:t>
      </w:r>
      <w:r w:rsidRPr="00A0524B">
        <w:rPr>
          <w:rFonts w:eastAsia="Times New Roman"/>
          <w:noProof/>
          <w:kern w:val="0"/>
          <w:sz w:val="20"/>
        </w:rPr>
        <w:t>, 1832–1850.</w:t>
      </w:r>
    </w:p>
    <w:p w14:paraId="61BD2D97" w14:textId="77777777" w:rsidR="00AD22FF" w:rsidRPr="00A0524B" w:rsidRDefault="00AD22FF" w:rsidP="00A0524B">
      <w:pPr>
        <w:autoSpaceDE w:val="0"/>
        <w:autoSpaceDN w:val="0"/>
        <w:adjustRightInd w:val="0"/>
        <w:ind w:left="480" w:hanging="480"/>
        <w:jc w:val="left"/>
        <w:rPr>
          <w:noProof/>
          <w:sz w:val="20"/>
        </w:rPr>
      </w:pPr>
      <w:r w:rsidRPr="00A0524B">
        <w:rPr>
          <w:rFonts w:eastAsia="Times New Roman"/>
          <w:noProof/>
          <w:kern w:val="0"/>
          <w:sz w:val="20"/>
        </w:rPr>
        <w:t xml:space="preserve">Zou,Q. </w:t>
      </w:r>
      <w:r w:rsidRPr="00A0524B">
        <w:rPr>
          <w:rFonts w:eastAsia="Times New Roman"/>
          <w:i/>
          <w:iCs/>
          <w:noProof/>
          <w:kern w:val="0"/>
          <w:sz w:val="20"/>
        </w:rPr>
        <w:t>et al.</w:t>
      </w:r>
      <w:r w:rsidRPr="00A0524B">
        <w:rPr>
          <w:rFonts w:eastAsia="Times New Roman"/>
          <w:noProof/>
          <w:kern w:val="0"/>
          <w:sz w:val="20"/>
        </w:rPr>
        <w:t xml:space="preserve"> (2009) An Algorithm for DNA Multiple Sequence Alignment Based on Center Star Method and Keyword Tree. </w:t>
      </w:r>
      <w:r w:rsidRPr="00A0524B">
        <w:rPr>
          <w:rFonts w:eastAsia="Times New Roman"/>
          <w:i/>
          <w:iCs/>
          <w:noProof/>
          <w:kern w:val="0"/>
          <w:sz w:val="20"/>
        </w:rPr>
        <w:t>Acta Electron. Sin.</w:t>
      </w:r>
      <w:r w:rsidRPr="00A0524B">
        <w:rPr>
          <w:rFonts w:eastAsia="Times New Roman"/>
          <w:noProof/>
          <w:kern w:val="0"/>
          <w:sz w:val="20"/>
        </w:rPr>
        <w:t xml:space="preserve">, </w:t>
      </w:r>
      <w:r w:rsidRPr="00A0524B">
        <w:rPr>
          <w:rFonts w:eastAsia="Times New Roman"/>
          <w:b/>
          <w:bCs/>
          <w:noProof/>
          <w:kern w:val="0"/>
          <w:sz w:val="20"/>
        </w:rPr>
        <w:t>38</w:t>
      </w:r>
      <w:r w:rsidRPr="00A0524B">
        <w:rPr>
          <w:rFonts w:eastAsia="Times New Roman"/>
          <w:noProof/>
          <w:kern w:val="0"/>
          <w:sz w:val="20"/>
        </w:rPr>
        <w:t>, 1746–1750.</w:t>
      </w:r>
    </w:p>
    <w:p w14:paraId="318ADEEF" w14:textId="77777777" w:rsidR="00AD22FF" w:rsidRPr="00A0524B" w:rsidRDefault="00AD22FF" w:rsidP="00A0524B">
      <w:pPr>
        <w:autoSpaceDE w:val="0"/>
        <w:autoSpaceDN w:val="0"/>
        <w:adjustRightInd w:val="0"/>
        <w:ind w:left="640" w:hanging="640"/>
        <w:jc w:val="left"/>
      </w:pPr>
      <w:r w:rsidRPr="00A0524B">
        <w:fldChar w:fldCharType="end"/>
      </w:r>
    </w:p>
    <w:p w14:paraId="379751F0" w14:textId="77777777" w:rsidR="00AD22FF" w:rsidRPr="00A0524B" w:rsidRDefault="00AD22FF" w:rsidP="00A0524B">
      <w:pPr>
        <w:rPr>
          <w:color w:val="000000" w:themeColor="text1"/>
        </w:rPr>
      </w:pPr>
    </w:p>
    <w:p w14:paraId="432D8C81" w14:textId="77777777" w:rsidR="006862B5" w:rsidRPr="00A0524B" w:rsidRDefault="00495C85" w:rsidP="00A0524B"/>
    <w:sectPr w:rsidR="006862B5" w:rsidRPr="00A0524B" w:rsidSect="008C383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156"/>
    <w:rsid w:val="000C5EFD"/>
    <w:rsid w:val="000D62DA"/>
    <w:rsid w:val="00495C85"/>
    <w:rsid w:val="00684156"/>
    <w:rsid w:val="008C3838"/>
    <w:rsid w:val="00923FC8"/>
    <w:rsid w:val="00A0524B"/>
    <w:rsid w:val="00AD22FF"/>
    <w:rsid w:val="00E1507D"/>
    <w:rsid w:val="00F325E2"/>
    <w:rsid w:val="00F74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DE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D22FF"/>
    <w:pPr>
      <w:widowControl w:val="0"/>
      <w:jc w:val="both"/>
    </w:pPr>
    <w:rPr>
      <w:rFonts w:ascii="Calibri" w:eastAsia="宋体" w:hAnsi="Calibri" w:cs="Times New Roman"/>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AD22FF"/>
    <w:rPr>
      <w:rFonts w:asciiTheme="majorHAns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emf"/><Relationship Id="rId6" Type="http://schemas.openxmlformats.org/officeDocument/2006/relationships/image" Target="media/image3.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1418</Words>
  <Characters>8089</Characters>
  <Application>Microsoft Macintosh Word</Application>
  <DocSecurity>0</DocSecurity>
  <Lines>67</Lines>
  <Paragraphs>18</Paragraphs>
  <ScaleCrop>false</ScaleCrop>
  <LinksUpToDate>false</LinksUpToDate>
  <CharactersWithSpaces>9489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2017-05-08T14:12:00Z</dcterms:created>
  <dcterms:modified xsi:type="dcterms:W3CDTF">2017-05-08T14:23:00Z</dcterms:modified>
</cp:coreProperties>
</file>