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D28870" w14:textId="77777777" w:rsidR="00BF7615" w:rsidRDefault="000D7E1E">
      <w:pPr>
        <w:shd w:val="clear" w:color="auto" w:fill="2F5597"/>
        <w:spacing w:before="500"/>
        <w:jc w:val="center"/>
        <w:rPr>
          <w:rFonts w:hint="eastAsia"/>
        </w:rPr>
      </w:pPr>
      <w:r>
        <w:rPr>
          <w:b/>
          <w:color w:val="FFFFFF"/>
          <w:sz w:val="22"/>
        </w:rPr>
        <w:t>CHECKPOINT 02</w:t>
      </w:r>
    </w:p>
    <w:p w14:paraId="2BC91CF6" w14:textId="77777777" w:rsidR="00BF7615" w:rsidRDefault="000D7E1E">
      <w:pPr>
        <w:pStyle w:val="Title"/>
        <w:jc w:val="center"/>
      </w:pPr>
      <w:r>
        <w:t>Frozen Protocol, Protocol-Coupled Client, and Profiler Orchestration Design</w:t>
      </w:r>
    </w:p>
    <w:p w14:paraId="5D68CEE6" w14:textId="77777777" w:rsidR="00BF7615" w:rsidRDefault="000D7E1E">
      <w:pPr>
        <w:pStyle w:val="Subtitle"/>
        <w:jc w:val="center"/>
      </w:pPr>
      <w:r>
        <w:t>Pre-experiment mini-checkpoint and smoke-test gate</w:t>
      </w:r>
    </w:p>
    <w:p w14:paraId="18D63CFA" w14:textId="77777777" w:rsidR="00BF7615" w:rsidRDefault="00BF7615">
      <w:pPr>
        <w:rPr>
          <w:rFonts w:hint="eastAsia"/>
        </w:rPr>
      </w:pPr>
    </w:p>
    <w:tbl>
      <w:tblPr>
        <w:tblW w:w="0" w:type="auto"/>
        <w:jc w:val="center"/>
        <w:tblLayout w:type="fixed"/>
        <w:tblLook w:val="04A0" w:firstRow="1" w:lastRow="0" w:firstColumn="1" w:lastColumn="0" w:noHBand="0" w:noVBand="1"/>
      </w:tblPr>
      <w:tblGrid>
        <w:gridCol w:w="5083"/>
        <w:gridCol w:w="5083"/>
      </w:tblGrid>
      <w:tr w:rsidR="00BF7615" w14:paraId="0B3C230C" w14:textId="77777777">
        <w:trPr>
          <w:jc w:val="center"/>
        </w:trPr>
        <w:tc>
          <w:tcPr>
            <w:tcW w:w="5083" w:type="dxa"/>
            <w:shd w:val="clear" w:color="auto" w:fill="2F5597"/>
            <w:tcMar>
              <w:top w:w="110" w:type="dxa"/>
              <w:left w:w="110" w:type="dxa"/>
              <w:bottom w:w="110" w:type="dxa"/>
              <w:right w:w="110" w:type="dxa"/>
            </w:tcMar>
            <w:vAlign w:val="center"/>
          </w:tcPr>
          <w:p w14:paraId="6DEDFA1D" w14:textId="77777777" w:rsidR="00BF7615" w:rsidRDefault="000D7E1E">
            <w:pPr>
              <w:spacing w:after="0"/>
              <w:rPr>
                <w:rFonts w:hint="eastAsia"/>
              </w:rPr>
            </w:pPr>
            <w:r>
              <w:rPr>
                <w:b/>
                <w:color w:val="FFFFFF"/>
                <w:sz w:val="18"/>
              </w:rPr>
              <w:t>Continuation</w:t>
            </w:r>
          </w:p>
        </w:tc>
        <w:tc>
          <w:tcPr>
            <w:tcW w:w="5083" w:type="dxa"/>
            <w:shd w:val="clear" w:color="auto" w:fill="F7F9FC"/>
            <w:tcMar>
              <w:top w:w="110" w:type="dxa"/>
              <w:left w:w="110" w:type="dxa"/>
              <w:bottom w:w="110" w:type="dxa"/>
              <w:right w:w="110" w:type="dxa"/>
            </w:tcMar>
            <w:vAlign w:val="center"/>
          </w:tcPr>
          <w:p w14:paraId="5DA12CAF" w14:textId="77777777" w:rsidR="00BF7615" w:rsidRDefault="000D7E1E">
            <w:pPr>
              <w:spacing w:after="0"/>
              <w:rPr>
                <w:rFonts w:hint="eastAsia"/>
              </w:rPr>
            </w:pPr>
            <w:r>
              <w:rPr>
                <w:color w:val="1F2937"/>
                <w:sz w:val="18"/>
              </w:rPr>
              <w:t>Begins after Checkpoint 01</w:t>
            </w:r>
          </w:p>
        </w:tc>
      </w:tr>
      <w:tr w:rsidR="00BF7615" w14:paraId="06DC6DCD" w14:textId="77777777">
        <w:trPr>
          <w:jc w:val="center"/>
        </w:trPr>
        <w:tc>
          <w:tcPr>
            <w:tcW w:w="5083" w:type="dxa"/>
            <w:shd w:val="clear" w:color="auto" w:fill="2F5597"/>
            <w:tcMar>
              <w:top w:w="110" w:type="dxa"/>
              <w:left w:w="110" w:type="dxa"/>
              <w:bottom w:w="110" w:type="dxa"/>
              <w:right w:w="110" w:type="dxa"/>
            </w:tcMar>
            <w:vAlign w:val="center"/>
          </w:tcPr>
          <w:p w14:paraId="1D19454C" w14:textId="77777777" w:rsidR="00BF7615" w:rsidRDefault="000D7E1E">
            <w:pPr>
              <w:spacing w:after="0"/>
              <w:rPr>
                <w:rFonts w:hint="eastAsia"/>
              </w:rPr>
            </w:pPr>
            <w:r>
              <w:rPr>
                <w:b/>
                <w:color w:val="FFFFFF"/>
                <w:sz w:val="18"/>
              </w:rPr>
              <w:t>Study</w:t>
            </w:r>
          </w:p>
        </w:tc>
        <w:tc>
          <w:tcPr>
            <w:tcW w:w="5083" w:type="dxa"/>
            <w:shd w:val="clear" w:color="auto" w:fill="F7F9FC"/>
            <w:tcMar>
              <w:top w:w="110" w:type="dxa"/>
              <w:left w:w="110" w:type="dxa"/>
              <w:bottom w:w="110" w:type="dxa"/>
              <w:right w:w="110" w:type="dxa"/>
            </w:tcMar>
            <w:vAlign w:val="center"/>
          </w:tcPr>
          <w:p w14:paraId="6D844874" w14:textId="77777777" w:rsidR="00BF7615" w:rsidRDefault="000D7E1E">
            <w:pPr>
              <w:spacing w:after="0"/>
              <w:rPr>
                <w:rFonts w:hint="eastAsia"/>
              </w:rPr>
            </w:pPr>
            <w:r>
              <w:rPr>
                <w:color w:val="1F2937"/>
                <w:sz w:val="18"/>
              </w:rPr>
              <w:t>Normal decoding versus two-token MTP speculative decoding</w:t>
            </w:r>
          </w:p>
        </w:tc>
      </w:tr>
      <w:tr w:rsidR="00BF7615" w14:paraId="5F1225D8" w14:textId="77777777">
        <w:trPr>
          <w:jc w:val="center"/>
        </w:trPr>
        <w:tc>
          <w:tcPr>
            <w:tcW w:w="5083" w:type="dxa"/>
            <w:shd w:val="clear" w:color="auto" w:fill="2F5597"/>
            <w:tcMar>
              <w:top w:w="110" w:type="dxa"/>
              <w:left w:w="110" w:type="dxa"/>
              <w:bottom w:w="110" w:type="dxa"/>
              <w:right w:w="110" w:type="dxa"/>
            </w:tcMar>
            <w:vAlign w:val="center"/>
          </w:tcPr>
          <w:p w14:paraId="516CF510" w14:textId="77777777" w:rsidR="00BF7615" w:rsidRDefault="000D7E1E">
            <w:pPr>
              <w:spacing w:after="0"/>
              <w:rPr>
                <w:rFonts w:hint="eastAsia"/>
              </w:rPr>
            </w:pPr>
            <w:r>
              <w:rPr>
                <w:b/>
                <w:color w:val="FFFFFF"/>
                <w:sz w:val="18"/>
              </w:rPr>
              <w:t>Primary</w:t>
            </w:r>
            <w:r>
              <w:rPr>
                <w:b/>
                <w:color w:val="FFFFFF"/>
                <w:sz w:val="18"/>
              </w:rPr>
              <w:t xml:space="preserve"> profiler</w:t>
            </w:r>
          </w:p>
        </w:tc>
        <w:tc>
          <w:tcPr>
            <w:tcW w:w="5083" w:type="dxa"/>
            <w:shd w:val="clear" w:color="auto" w:fill="F7F9FC"/>
            <w:tcMar>
              <w:top w:w="110" w:type="dxa"/>
              <w:left w:w="110" w:type="dxa"/>
              <w:bottom w:w="110" w:type="dxa"/>
              <w:right w:w="110" w:type="dxa"/>
            </w:tcMar>
            <w:vAlign w:val="center"/>
          </w:tcPr>
          <w:p w14:paraId="5C024B5D" w14:textId="77777777" w:rsidR="00BF7615" w:rsidRDefault="000D7E1E">
            <w:pPr>
              <w:spacing w:after="0"/>
              <w:rPr>
                <w:rFonts w:hint="eastAsia"/>
              </w:rPr>
            </w:pPr>
            <w:r>
              <w:rPr>
                <w:color w:val="1F2937"/>
                <w:sz w:val="18"/>
              </w:rPr>
              <w:t>NVIDIA Nsight Systems</w:t>
            </w:r>
          </w:p>
        </w:tc>
      </w:tr>
      <w:tr w:rsidR="00BF7615" w14:paraId="6A6695CD" w14:textId="77777777">
        <w:trPr>
          <w:jc w:val="center"/>
        </w:trPr>
        <w:tc>
          <w:tcPr>
            <w:tcW w:w="5083" w:type="dxa"/>
            <w:shd w:val="clear" w:color="auto" w:fill="2F5597"/>
            <w:tcMar>
              <w:top w:w="110" w:type="dxa"/>
              <w:left w:w="110" w:type="dxa"/>
              <w:bottom w:w="110" w:type="dxa"/>
              <w:right w:w="110" w:type="dxa"/>
            </w:tcMar>
            <w:vAlign w:val="center"/>
          </w:tcPr>
          <w:p w14:paraId="5642C15C" w14:textId="77777777" w:rsidR="00BF7615" w:rsidRDefault="000D7E1E">
            <w:pPr>
              <w:spacing w:after="0"/>
              <w:rPr>
                <w:rFonts w:hint="eastAsia"/>
              </w:rPr>
            </w:pPr>
            <w:r>
              <w:rPr>
                <w:b/>
                <w:color w:val="FFFFFF"/>
                <w:sz w:val="18"/>
              </w:rPr>
              <w:t>Supporting profiler</w:t>
            </w:r>
          </w:p>
        </w:tc>
        <w:tc>
          <w:tcPr>
            <w:tcW w:w="5083" w:type="dxa"/>
            <w:shd w:val="clear" w:color="auto" w:fill="F7F9FC"/>
            <w:tcMar>
              <w:top w:w="110" w:type="dxa"/>
              <w:left w:w="110" w:type="dxa"/>
              <w:bottom w:w="110" w:type="dxa"/>
              <w:right w:w="110" w:type="dxa"/>
            </w:tcMar>
            <w:vAlign w:val="center"/>
          </w:tcPr>
          <w:p w14:paraId="5A00C3DB" w14:textId="77777777" w:rsidR="00BF7615" w:rsidRDefault="000D7E1E">
            <w:pPr>
              <w:spacing w:after="0"/>
              <w:rPr>
                <w:rFonts w:hint="eastAsia"/>
              </w:rPr>
            </w:pPr>
            <w:r>
              <w:rPr>
                <w:color w:val="1F2937"/>
                <w:sz w:val="18"/>
              </w:rPr>
              <w:t>PyTorch Profiler</w:t>
            </w:r>
          </w:p>
        </w:tc>
      </w:tr>
      <w:tr w:rsidR="00BF7615" w14:paraId="18549C1D" w14:textId="77777777">
        <w:trPr>
          <w:jc w:val="center"/>
        </w:trPr>
        <w:tc>
          <w:tcPr>
            <w:tcW w:w="5083" w:type="dxa"/>
            <w:shd w:val="clear" w:color="auto" w:fill="2F5597"/>
            <w:tcMar>
              <w:top w:w="110" w:type="dxa"/>
              <w:left w:w="110" w:type="dxa"/>
              <w:bottom w:w="110" w:type="dxa"/>
              <w:right w:w="110" w:type="dxa"/>
            </w:tcMar>
            <w:vAlign w:val="center"/>
          </w:tcPr>
          <w:p w14:paraId="7C8DD33A" w14:textId="77777777" w:rsidR="00BF7615" w:rsidRDefault="000D7E1E">
            <w:pPr>
              <w:spacing w:after="0"/>
              <w:rPr>
                <w:rFonts w:hint="eastAsia"/>
              </w:rPr>
            </w:pPr>
            <w:r>
              <w:rPr>
                <w:b/>
                <w:color w:val="FFFFFF"/>
                <w:sz w:val="18"/>
              </w:rPr>
              <w:t>Protocol</w:t>
            </w:r>
          </w:p>
        </w:tc>
        <w:tc>
          <w:tcPr>
            <w:tcW w:w="5083" w:type="dxa"/>
            <w:shd w:val="clear" w:color="auto" w:fill="F7F9FC"/>
            <w:tcMar>
              <w:top w:w="110" w:type="dxa"/>
              <w:left w:w="110" w:type="dxa"/>
              <w:bottom w:w="110" w:type="dxa"/>
              <w:right w:w="110" w:type="dxa"/>
            </w:tcMar>
            <w:vAlign w:val="center"/>
          </w:tcPr>
          <w:p w14:paraId="67ED5EA4" w14:textId="77777777" w:rsidR="00BF7615" w:rsidRDefault="000D7E1E">
            <w:pPr>
              <w:spacing w:after="0"/>
              <w:rPr>
                <w:rFonts w:hint="eastAsia"/>
              </w:rPr>
            </w:pPr>
            <w:r>
              <w:rPr>
                <w:color w:val="1F2937"/>
                <w:sz w:val="18"/>
              </w:rPr>
              <w:t>GPU Inference Profiling Study v1.0, frozen and checksummed</w:t>
            </w:r>
          </w:p>
        </w:tc>
      </w:tr>
      <w:tr w:rsidR="00BF7615" w14:paraId="66C50C36" w14:textId="77777777">
        <w:trPr>
          <w:jc w:val="center"/>
        </w:trPr>
        <w:tc>
          <w:tcPr>
            <w:tcW w:w="5083" w:type="dxa"/>
            <w:shd w:val="clear" w:color="auto" w:fill="2F5597"/>
            <w:tcMar>
              <w:top w:w="110" w:type="dxa"/>
              <w:left w:w="110" w:type="dxa"/>
              <w:bottom w:w="110" w:type="dxa"/>
              <w:right w:w="110" w:type="dxa"/>
            </w:tcMar>
            <w:vAlign w:val="center"/>
          </w:tcPr>
          <w:p w14:paraId="00F5B28C" w14:textId="77777777" w:rsidR="00BF7615" w:rsidRDefault="000D7E1E">
            <w:pPr>
              <w:spacing w:after="0"/>
              <w:rPr>
                <w:rFonts w:hint="eastAsia"/>
              </w:rPr>
            </w:pPr>
            <w:r>
              <w:rPr>
                <w:b/>
                <w:color w:val="FFFFFF"/>
                <w:sz w:val="18"/>
              </w:rPr>
              <w:t>Current gate</w:t>
            </w:r>
          </w:p>
        </w:tc>
        <w:tc>
          <w:tcPr>
            <w:tcW w:w="5083" w:type="dxa"/>
            <w:shd w:val="clear" w:color="auto" w:fill="F7F9FC"/>
            <w:tcMar>
              <w:top w:w="110" w:type="dxa"/>
              <w:left w:w="110" w:type="dxa"/>
              <w:bottom w:w="110" w:type="dxa"/>
              <w:right w:w="110" w:type="dxa"/>
            </w:tcMar>
            <w:vAlign w:val="center"/>
          </w:tcPr>
          <w:p w14:paraId="6CCF4633" w14:textId="77777777" w:rsidR="00BF7615" w:rsidRDefault="000D7E1E">
            <w:pPr>
              <w:spacing w:after="0"/>
              <w:rPr>
                <w:rFonts w:hint="eastAsia"/>
              </w:rPr>
            </w:pPr>
            <w:r>
              <w:rPr>
                <w:color w:val="1F2937"/>
                <w:sz w:val="18"/>
              </w:rPr>
              <w:t>Smoke-test validation required before pilot or experimental collection</w:t>
            </w:r>
          </w:p>
        </w:tc>
      </w:tr>
    </w:tbl>
    <w:p w14:paraId="30725866" w14:textId="77777777" w:rsidR="00BF7615" w:rsidRDefault="00BF7615">
      <w:pPr>
        <w:rPr>
          <w:rFonts w:hint="eastAsia"/>
        </w:rPr>
      </w:pPr>
    </w:p>
    <w:tbl>
      <w:tblPr>
        <w:tblW w:w="0" w:type="auto"/>
        <w:tblLook w:val="04A0" w:firstRow="1" w:lastRow="0" w:firstColumn="1" w:lastColumn="0" w:noHBand="0" w:noVBand="1"/>
      </w:tblPr>
      <w:tblGrid>
        <w:gridCol w:w="10166"/>
      </w:tblGrid>
      <w:tr w:rsidR="00BF7615" w14:paraId="3A3622C6" w14:textId="77777777">
        <w:tc>
          <w:tcPr>
            <w:tcW w:w="10166" w:type="dxa"/>
            <w:shd w:val="clear" w:color="auto" w:fill="EAF2F8"/>
            <w:tcMar>
              <w:top w:w="110" w:type="dxa"/>
              <w:left w:w="110" w:type="dxa"/>
              <w:bottom w:w="110" w:type="dxa"/>
              <w:right w:w="110" w:type="dxa"/>
            </w:tcMar>
            <w:vAlign w:val="center"/>
          </w:tcPr>
          <w:p w14:paraId="2DB6004C" w14:textId="77777777" w:rsidR="00BF7615" w:rsidRDefault="000D7E1E">
            <w:pPr>
              <w:spacing w:after="0"/>
              <w:rPr>
                <w:rFonts w:hint="eastAsia"/>
              </w:rPr>
            </w:pPr>
            <w:r>
              <w:rPr>
                <w:b/>
                <w:color w:val="17365D"/>
                <w:sz w:val="20"/>
              </w:rPr>
              <w:t xml:space="preserve">Checkpoint outcome: the </w:t>
            </w:r>
            <w:r>
              <w:rPr>
                <w:b/>
                <w:color w:val="17365D"/>
                <w:sz w:val="20"/>
              </w:rPr>
              <w:t>measurement protocol, fixed workloads, protocol-coupled streaming client, and profiler-wrapper design are ready. No experiment begins until a focused smoke test proves parser separation, portable artifact production, Nsight Systems NVTX/CUDA co-capture, an</w:t>
            </w:r>
            <w:r>
              <w:rPr>
                <w:b/>
                <w:color w:val="17365D"/>
                <w:sz w:val="20"/>
              </w:rPr>
              <w:t>d PyTorch trace generation.</w:t>
            </w:r>
          </w:p>
        </w:tc>
      </w:tr>
    </w:tbl>
    <w:p w14:paraId="49E0E47D" w14:textId="77777777" w:rsidR="00BF7615" w:rsidRDefault="000D7E1E">
      <w:pPr>
        <w:spacing w:before="400"/>
        <w:jc w:val="center"/>
        <w:rPr>
          <w:rFonts w:hint="eastAsia"/>
        </w:rPr>
      </w:pPr>
      <w:r>
        <w:rPr>
          <w:b/>
          <w:color w:val="344054"/>
          <w:sz w:val="22"/>
        </w:rPr>
        <w:t>Suwesh Prasad Sah</w:t>
      </w:r>
    </w:p>
    <w:p w14:paraId="53AA7217" w14:textId="77777777" w:rsidR="00BF7615" w:rsidRDefault="000D7E1E">
      <w:pPr>
        <w:rPr>
          <w:rFonts w:hint="eastAsia"/>
        </w:rPr>
      </w:pPr>
      <w:r>
        <w:br w:type="page"/>
      </w:r>
    </w:p>
    <w:p w14:paraId="4CE7BEA9" w14:textId="77777777" w:rsidR="00BF7615" w:rsidRDefault="000D7E1E">
      <w:pPr>
        <w:pStyle w:val="Heading1"/>
      </w:pPr>
      <w:r>
        <w:lastRenderedPageBreak/>
        <w:t>1. Scope and checkpoint boundary</w:t>
      </w:r>
    </w:p>
    <w:p w14:paraId="718A3F38" w14:textId="77777777" w:rsidR="00BF7615" w:rsidRDefault="000D7E1E">
      <w:pPr>
        <w:rPr>
          <w:rFonts w:hint="eastAsia"/>
        </w:rPr>
      </w:pPr>
      <w:r>
        <w:t>Checkpoint 01 ended with comparable normal and MTP deployments, a vLLM-first reverse-learning strategy, initial normal-decoding observations, and a phased experimental roadma</w:t>
      </w:r>
      <w:r>
        <w:t>p. Checkpoint 02 records the subsequent transition from experiment design to an executable, protocol-coupled measurement and profiling workflow.</w:t>
      </w:r>
    </w:p>
    <w:p w14:paraId="5FA841C6" w14:textId="77777777" w:rsidR="00BF7615" w:rsidRDefault="000D7E1E">
      <w:pPr>
        <w:rPr>
          <w:rFonts w:hint="eastAsia"/>
        </w:rPr>
      </w:pPr>
      <w:r>
        <w:t xml:space="preserve">This remains a pre-result checkpoint. The generated tooling has been syntax-checked and reviewed conceptually, </w:t>
      </w:r>
      <w:r>
        <w:t>but parser behavior, system-wide profiler capture, portable report generation, and phase alignment have not yet passed the server smoke test. Consequently, no collected value is admitted as research evidence at this stage.</w:t>
      </w:r>
    </w:p>
    <w:p w14:paraId="54F041A3" w14:textId="77777777" w:rsidR="00BF7615" w:rsidRDefault="000D7E1E">
      <w:pPr>
        <w:pStyle w:val="Heading1"/>
      </w:pPr>
      <w:r>
        <w:t>2. Phase 2 completion: protocol v</w:t>
      </w:r>
      <w:r>
        <w:t>1.0</w:t>
      </w:r>
    </w:p>
    <w:p w14:paraId="2012FBF5" w14:textId="77777777" w:rsidR="00BF7615" w:rsidRDefault="000D7E1E">
      <w:pPr>
        <w:rPr>
          <w:rFonts w:hint="eastAsia"/>
        </w:rPr>
      </w:pPr>
      <w:r>
        <w:t>The beta protocol was reviewed, simplified, populated with strict workloads and tools, promoted to version 1.0, YAML-validated, hashed with SHA-256, and marked read-only. The client must load this file rather than duplicate experimental constants in co</w:t>
      </w:r>
      <w:r>
        <w:t>de.</w:t>
      </w:r>
    </w:p>
    <w:p w14:paraId="1358B582" w14:textId="77777777" w:rsidR="00BF7615" w:rsidRDefault="000D7E1E">
      <w:pPr>
        <w:pStyle w:val="CodeBlock"/>
        <w:keepLines/>
        <w:rPr>
          <w:rFonts w:hint="eastAsia"/>
        </w:rPr>
      </w:pPr>
      <w:r>
        <w:t>python - &lt;&lt;'PY'</w:t>
      </w:r>
      <w:r>
        <w:br/>
        <w:t>import yaml</w:t>
      </w:r>
      <w:r>
        <w:br/>
        <w:t>p = yaml.safe_load(open('protocol_v1.0.yaml'))</w:t>
      </w:r>
      <w:r>
        <w:br/>
        <w:t>assert p['protocol']['version'] == '1.0'</w:t>
      </w:r>
      <w:r>
        <w:br/>
        <w:t>assert len(p['workloads']) == 3</w:t>
      </w:r>
      <w:r>
        <w:br/>
        <w:t>print('Protocol v1.0 validation: PASS')</w:t>
      </w:r>
      <w:r>
        <w:br/>
        <w:t>PY</w:t>
      </w:r>
      <w:r>
        <w:br/>
        <w:t>sha256sum protocol_v1.0.yaml &gt; protocol_v1.0.sha256</w:t>
      </w:r>
      <w:r>
        <w:br/>
        <w:t>chmod 444</w:t>
      </w:r>
      <w:r>
        <w:t xml:space="preserve"> protocol_v1.0.yaml protocol_v1.0.sha256</w:t>
      </w:r>
    </w:p>
    <w:p w14:paraId="4D37E4FD" w14:textId="77777777" w:rsidR="00BF7615" w:rsidRDefault="000D7E1E">
      <w:pPr>
        <w:pStyle w:val="Heading2"/>
      </w:pPr>
      <w:r>
        <w:t>2.1 Frozen comparison</w:t>
      </w:r>
    </w:p>
    <w:p w14:paraId="7458908E" w14:textId="77777777" w:rsidR="00BF7615" w:rsidRDefault="000D7E1E">
      <w:pPr>
        <w:pStyle w:val="ListBullet"/>
        <w:rPr>
          <w:rFonts w:hint="eastAsia"/>
        </w:rPr>
      </w:pPr>
      <w:r>
        <w:t>Normal autoregressive decoding through prof-gemma4vllm.service.</w:t>
      </w:r>
    </w:p>
    <w:p w14:paraId="04AE7ED7" w14:textId="77777777" w:rsidR="00BF7615" w:rsidRDefault="000D7E1E">
      <w:pPr>
        <w:pStyle w:val="ListBullet"/>
        <w:rPr>
          <w:rFonts w:hint="eastAsia"/>
        </w:rPr>
      </w:pPr>
      <w:r>
        <w:t>MTP speculative decoding through prof-gemma4vllm-mtp.service, with two speculative tokens.</w:t>
      </w:r>
    </w:p>
    <w:p w14:paraId="3544BD45" w14:textId="77777777" w:rsidR="00BF7615" w:rsidRDefault="000D7E1E">
      <w:pPr>
        <w:pStyle w:val="ListBullet"/>
        <w:rPr>
          <w:rFonts w:hint="eastAsia"/>
        </w:rPr>
      </w:pPr>
      <w:r>
        <w:t xml:space="preserve">All other inference settings held </w:t>
      </w:r>
      <w:r>
        <w:t>equal by the controlled service definitions.</w:t>
      </w:r>
    </w:p>
    <w:p w14:paraId="291DDEA1" w14:textId="77777777" w:rsidR="00BF7615" w:rsidRDefault="000D7E1E">
      <w:pPr>
        <w:pStyle w:val="ListBullet"/>
        <w:rPr>
          <w:rFonts w:hint="eastAsia"/>
        </w:rPr>
      </w:pPr>
      <w:r>
        <w:t>Chat Completions streaming used for all three workload classes.</w:t>
      </w:r>
    </w:p>
    <w:p w14:paraId="79F282CD" w14:textId="77777777" w:rsidR="00BF7615" w:rsidRDefault="000D7E1E">
      <w:pPr>
        <w:pStyle w:val="ListBullet"/>
        <w:rPr>
          <w:rFonts w:hint="eastAsia"/>
        </w:rPr>
      </w:pPr>
      <w:r>
        <w:t>Natural always-thinking Gemma 4 behavior accepted for every workload; workload labels describe task semantics and output form.</w:t>
      </w:r>
    </w:p>
    <w:p w14:paraId="6790FB24" w14:textId="77777777" w:rsidR="00BF7615" w:rsidRDefault="000D7E1E">
      <w:pPr>
        <w:pStyle w:val="Heading2"/>
      </w:pPr>
      <w:r>
        <w:t>2.2 Frozen request c</w:t>
      </w:r>
      <w:r>
        <w:t>ontrols</w:t>
      </w:r>
    </w:p>
    <w:tbl>
      <w:tblPr>
        <w:tblW w:w="10725" w:type="dxa"/>
        <w:jc w:val="center"/>
        <w:tblLayout w:type="fixed"/>
        <w:tblLook w:val="04A0" w:firstRow="1" w:lastRow="0" w:firstColumn="1" w:lastColumn="0" w:noHBand="0" w:noVBand="1"/>
      </w:tblPr>
      <w:tblGrid>
        <w:gridCol w:w="2850"/>
        <w:gridCol w:w="2850"/>
        <w:gridCol w:w="5025"/>
      </w:tblGrid>
      <w:tr w:rsidR="00BF7615" w14:paraId="506D19A2" w14:textId="77777777" w:rsidTr="00703378">
        <w:trPr>
          <w:trHeight w:val="174"/>
          <w:jc w:val="center"/>
        </w:trPr>
        <w:tc>
          <w:tcPr>
            <w:tcW w:w="2850" w:type="dxa"/>
            <w:shd w:val="clear" w:color="auto" w:fill="17365D"/>
            <w:tcMar>
              <w:top w:w="110" w:type="dxa"/>
              <w:left w:w="110" w:type="dxa"/>
              <w:bottom w:w="110" w:type="dxa"/>
              <w:right w:w="110" w:type="dxa"/>
            </w:tcMar>
            <w:vAlign w:val="center"/>
          </w:tcPr>
          <w:p w14:paraId="3FFF79E8" w14:textId="77777777" w:rsidR="00BF7615" w:rsidRDefault="000D7E1E">
            <w:pPr>
              <w:spacing w:after="0"/>
              <w:rPr>
                <w:rFonts w:hint="eastAsia"/>
              </w:rPr>
            </w:pPr>
            <w:r>
              <w:rPr>
                <w:b/>
                <w:color w:val="FFFFFF"/>
                <w:sz w:val="18"/>
              </w:rPr>
              <w:t>Control</w:t>
            </w:r>
          </w:p>
        </w:tc>
        <w:tc>
          <w:tcPr>
            <w:tcW w:w="2850" w:type="dxa"/>
            <w:shd w:val="clear" w:color="auto" w:fill="17365D"/>
            <w:tcMar>
              <w:top w:w="110" w:type="dxa"/>
              <w:left w:w="110" w:type="dxa"/>
              <w:bottom w:w="110" w:type="dxa"/>
              <w:right w:w="110" w:type="dxa"/>
            </w:tcMar>
            <w:vAlign w:val="center"/>
          </w:tcPr>
          <w:p w14:paraId="46F48D5A" w14:textId="77777777" w:rsidR="00BF7615" w:rsidRDefault="000D7E1E">
            <w:pPr>
              <w:spacing w:after="0"/>
              <w:rPr>
                <w:rFonts w:hint="eastAsia"/>
              </w:rPr>
            </w:pPr>
            <w:r>
              <w:rPr>
                <w:b/>
                <w:color w:val="FFFFFF"/>
                <w:sz w:val="18"/>
              </w:rPr>
              <w:t>Value</w:t>
            </w:r>
          </w:p>
        </w:tc>
        <w:tc>
          <w:tcPr>
            <w:tcW w:w="5025" w:type="dxa"/>
            <w:shd w:val="clear" w:color="auto" w:fill="17365D"/>
            <w:tcMar>
              <w:top w:w="110" w:type="dxa"/>
              <w:left w:w="110" w:type="dxa"/>
              <w:bottom w:w="110" w:type="dxa"/>
              <w:right w:w="110" w:type="dxa"/>
            </w:tcMar>
            <w:vAlign w:val="center"/>
          </w:tcPr>
          <w:p w14:paraId="2EDF87E5" w14:textId="77777777" w:rsidR="00BF7615" w:rsidRDefault="000D7E1E">
            <w:pPr>
              <w:spacing w:after="0"/>
              <w:rPr>
                <w:rFonts w:hint="eastAsia"/>
              </w:rPr>
            </w:pPr>
            <w:r>
              <w:rPr>
                <w:b/>
                <w:color w:val="FFFFFF"/>
                <w:sz w:val="18"/>
              </w:rPr>
              <w:t>Purpose</w:t>
            </w:r>
          </w:p>
        </w:tc>
      </w:tr>
      <w:tr w:rsidR="00BF7615" w14:paraId="6F1BCA61" w14:textId="77777777" w:rsidTr="00703378">
        <w:trPr>
          <w:trHeight w:val="163"/>
          <w:jc w:val="center"/>
        </w:trPr>
        <w:tc>
          <w:tcPr>
            <w:tcW w:w="2850" w:type="dxa"/>
            <w:shd w:val="clear" w:color="auto" w:fill="F7F9FC"/>
            <w:tcMar>
              <w:top w:w="110" w:type="dxa"/>
              <w:left w:w="110" w:type="dxa"/>
              <w:bottom w:w="110" w:type="dxa"/>
              <w:right w:w="110" w:type="dxa"/>
            </w:tcMar>
            <w:vAlign w:val="center"/>
          </w:tcPr>
          <w:p w14:paraId="047D3399" w14:textId="77777777" w:rsidR="00BF7615" w:rsidRDefault="000D7E1E">
            <w:pPr>
              <w:spacing w:after="0"/>
              <w:rPr>
                <w:rFonts w:hint="eastAsia"/>
              </w:rPr>
            </w:pPr>
            <w:r>
              <w:rPr>
                <w:color w:val="1F2937"/>
                <w:sz w:val="17"/>
              </w:rPr>
              <w:t>Temperature</w:t>
            </w:r>
          </w:p>
        </w:tc>
        <w:tc>
          <w:tcPr>
            <w:tcW w:w="2850" w:type="dxa"/>
            <w:shd w:val="clear" w:color="auto" w:fill="F7F9FC"/>
            <w:tcMar>
              <w:top w:w="110" w:type="dxa"/>
              <w:left w:w="110" w:type="dxa"/>
              <w:bottom w:w="110" w:type="dxa"/>
              <w:right w:w="110" w:type="dxa"/>
            </w:tcMar>
            <w:vAlign w:val="center"/>
          </w:tcPr>
          <w:p w14:paraId="52311C98" w14:textId="77777777" w:rsidR="00BF7615" w:rsidRDefault="000D7E1E">
            <w:pPr>
              <w:spacing w:after="0"/>
              <w:rPr>
                <w:rFonts w:hint="eastAsia"/>
              </w:rPr>
            </w:pPr>
            <w:r>
              <w:rPr>
                <w:b/>
                <w:color w:val="1F2937"/>
                <w:sz w:val="17"/>
              </w:rPr>
              <w:t>0.0</w:t>
            </w:r>
          </w:p>
        </w:tc>
        <w:tc>
          <w:tcPr>
            <w:tcW w:w="5025" w:type="dxa"/>
            <w:shd w:val="clear" w:color="auto" w:fill="F7F9FC"/>
            <w:tcMar>
              <w:top w:w="110" w:type="dxa"/>
              <w:left w:w="110" w:type="dxa"/>
              <w:bottom w:w="110" w:type="dxa"/>
              <w:right w:w="110" w:type="dxa"/>
            </w:tcMar>
            <w:vAlign w:val="center"/>
          </w:tcPr>
          <w:p w14:paraId="4122CCE8" w14:textId="77777777" w:rsidR="00BF7615" w:rsidRDefault="000D7E1E">
            <w:pPr>
              <w:spacing w:after="0"/>
              <w:rPr>
                <w:rFonts w:hint="eastAsia"/>
              </w:rPr>
            </w:pPr>
            <w:r>
              <w:rPr>
                <w:color w:val="1F2937"/>
                <w:sz w:val="17"/>
              </w:rPr>
              <w:t>Reduce sampling-path variability in the primary comparison.</w:t>
            </w:r>
          </w:p>
        </w:tc>
      </w:tr>
      <w:tr w:rsidR="00BF7615" w14:paraId="45D6B41E" w14:textId="77777777" w:rsidTr="00703378">
        <w:trPr>
          <w:trHeight w:val="163"/>
          <w:jc w:val="center"/>
        </w:trPr>
        <w:tc>
          <w:tcPr>
            <w:tcW w:w="2850" w:type="dxa"/>
            <w:shd w:val="clear" w:color="auto" w:fill="FFFFFF"/>
            <w:tcMar>
              <w:top w:w="110" w:type="dxa"/>
              <w:left w:w="110" w:type="dxa"/>
              <w:bottom w:w="110" w:type="dxa"/>
              <w:right w:w="110" w:type="dxa"/>
            </w:tcMar>
            <w:vAlign w:val="center"/>
          </w:tcPr>
          <w:p w14:paraId="182FCCDF" w14:textId="77777777" w:rsidR="00BF7615" w:rsidRDefault="000D7E1E">
            <w:pPr>
              <w:spacing w:after="0"/>
              <w:rPr>
                <w:rFonts w:hint="eastAsia"/>
              </w:rPr>
            </w:pPr>
            <w:r>
              <w:rPr>
                <w:color w:val="1F2937"/>
                <w:sz w:val="17"/>
              </w:rPr>
              <w:t>Top-p</w:t>
            </w:r>
          </w:p>
        </w:tc>
        <w:tc>
          <w:tcPr>
            <w:tcW w:w="2850" w:type="dxa"/>
            <w:shd w:val="clear" w:color="auto" w:fill="FFFFFF"/>
            <w:tcMar>
              <w:top w:w="110" w:type="dxa"/>
              <w:left w:w="110" w:type="dxa"/>
              <w:bottom w:w="110" w:type="dxa"/>
              <w:right w:w="110" w:type="dxa"/>
            </w:tcMar>
            <w:vAlign w:val="center"/>
          </w:tcPr>
          <w:p w14:paraId="7CD3548F" w14:textId="77777777" w:rsidR="00BF7615" w:rsidRDefault="000D7E1E">
            <w:pPr>
              <w:spacing w:after="0"/>
              <w:rPr>
                <w:rFonts w:hint="eastAsia"/>
              </w:rPr>
            </w:pPr>
            <w:r>
              <w:rPr>
                <w:b/>
                <w:color w:val="1F2937"/>
                <w:sz w:val="17"/>
              </w:rPr>
              <w:t>1.0</w:t>
            </w:r>
          </w:p>
        </w:tc>
        <w:tc>
          <w:tcPr>
            <w:tcW w:w="5025" w:type="dxa"/>
            <w:shd w:val="clear" w:color="auto" w:fill="FFFFFF"/>
            <w:tcMar>
              <w:top w:w="110" w:type="dxa"/>
              <w:left w:w="110" w:type="dxa"/>
              <w:bottom w:w="110" w:type="dxa"/>
              <w:right w:w="110" w:type="dxa"/>
            </w:tcMar>
            <w:vAlign w:val="center"/>
          </w:tcPr>
          <w:p w14:paraId="525FF213" w14:textId="77777777" w:rsidR="00BF7615" w:rsidRDefault="000D7E1E">
            <w:pPr>
              <w:spacing w:after="0"/>
              <w:rPr>
                <w:rFonts w:hint="eastAsia"/>
              </w:rPr>
            </w:pPr>
            <w:r>
              <w:rPr>
                <w:color w:val="1F2937"/>
                <w:sz w:val="17"/>
              </w:rPr>
              <w:t>Avoid additional nucleus truncation while keeping the request explicit.</w:t>
            </w:r>
          </w:p>
        </w:tc>
      </w:tr>
      <w:tr w:rsidR="00BF7615" w14:paraId="586132F1" w14:textId="77777777" w:rsidTr="00703378">
        <w:trPr>
          <w:trHeight w:val="163"/>
          <w:jc w:val="center"/>
        </w:trPr>
        <w:tc>
          <w:tcPr>
            <w:tcW w:w="2850" w:type="dxa"/>
            <w:shd w:val="clear" w:color="auto" w:fill="F7F9FC"/>
            <w:tcMar>
              <w:top w:w="110" w:type="dxa"/>
              <w:left w:w="110" w:type="dxa"/>
              <w:bottom w:w="110" w:type="dxa"/>
              <w:right w:w="110" w:type="dxa"/>
            </w:tcMar>
            <w:vAlign w:val="center"/>
          </w:tcPr>
          <w:p w14:paraId="58C8CE58" w14:textId="77777777" w:rsidR="00BF7615" w:rsidRDefault="000D7E1E">
            <w:pPr>
              <w:spacing w:after="0"/>
              <w:rPr>
                <w:rFonts w:hint="eastAsia"/>
              </w:rPr>
            </w:pPr>
            <w:r>
              <w:rPr>
                <w:color w:val="1F2937"/>
                <w:sz w:val="17"/>
              </w:rPr>
              <w:t>Seed</w:t>
            </w:r>
          </w:p>
        </w:tc>
        <w:tc>
          <w:tcPr>
            <w:tcW w:w="2850" w:type="dxa"/>
            <w:shd w:val="clear" w:color="auto" w:fill="F7F9FC"/>
            <w:tcMar>
              <w:top w:w="110" w:type="dxa"/>
              <w:left w:w="110" w:type="dxa"/>
              <w:bottom w:w="110" w:type="dxa"/>
              <w:right w:w="110" w:type="dxa"/>
            </w:tcMar>
            <w:vAlign w:val="center"/>
          </w:tcPr>
          <w:p w14:paraId="2AA0F1F1" w14:textId="77777777" w:rsidR="00BF7615" w:rsidRDefault="000D7E1E">
            <w:pPr>
              <w:spacing w:after="0"/>
              <w:rPr>
                <w:rFonts w:hint="eastAsia"/>
              </w:rPr>
            </w:pPr>
            <w:r>
              <w:rPr>
                <w:b/>
                <w:color w:val="1F2937"/>
                <w:sz w:val="17"/>
              </w:rPr>
              <w:t>42</w:t>
            </w:r>
          </w:p>
        </w:tc>
        <w:tc>
          <w:tcPr>
            <w:tcW w:w="5025" w:type="dxa"/>
            <w:shd w:val="clear" w:color="auto" w:fill="F7F9FC"/>
            <w:tcMar>
              <w:top w:w="110" w:type="dxa"/>
              <w:left w:w="110" w:type="dxa"/>
              <w:bottom w:w="110" w:type="dxa"/>
              <w:right w:w="110" w:type="dxa"/>
            </w:tcMar>
            <w:vAlign w:val="center"/>
          </w:tcPr>
          <w:p w14:paraId="7B6E7A92" w14:textId="77777777" w:rsidR="00BF7615" w:rsidRDefault="000D7E1E">
            <w:pPr>
              <w:spacing w:after="0"/>
              <w:rPr>
                <w:rFonts w:hint="eastAsia"/>
              </w:rPr>
            </w:pPr>
            <w:r>
              <w:rPr>
                <w:color w:val="1F2937"/>
                <w:sz w:val="17"/>
              </w:rPr>
              <w:t>Use the same requested seed under normal and MTP modes.</w:t>
            </w:r>
          </w:p>
        </w:tc>
      </w:tr>
      <w:tr w:rsidR="00BF7615" w14:paraId="22D6090B" w14:textId="77777777" w:rsidTr="00703378">
        <w:trPr>
          <w:trHeight w:val="316"/>
          <w:jc w:val="center"/>
        </w:trPr>
        <w:tc>
          <w:tcPr>
            <w:tcW w:w="2850" w:type="dxa"/>
            <w:shd w:val="clear" w:color="auto" w:fill="FFFFFF"/>
            <w:tcMar>
              <w:top w:w="110" w:type="dxa"/>
              <w:left w:w="110" w:type="dxa"/>
              <w:bottom w:w="110" w:type="dxa"/>
              <w:right w:w="110" w:type="dxa"/>
            </w:tcMar>
            <w:vAlign w:val="center"/>
          </w:tcPr>
          <w:p w14:paraId="23EC23CA" w14:textId="77777777" w:rsidR="00BF7615" w:rsidRDefault="000D7E1E">
            <w:pPr>
              <w:spacing w:after="0"/>
              <w:rPr>
                <w:rFonts w:hint="eastAsia"/>
              </w:rPr>
            </w:pPr>
            <w:r>
              <w:rPr>
                <w:color w:val="1F2937"/>
                <w:sz w:val="17"/>
              </w:rPr>
              <w:t>Max output tokens</w:t>
            </w:r>
          </w:p>
        </w:tc>
        <w:tc>
          <w:tcPr>
            <w:tcW w:w="2850" w:type="dxa"/>
            <w:shd w:val="clear" w:color="auto" w:fill="FFFFFF"/>
            <w:tcMar>
              <w:top w:w="110" w:type="dxa"/>
              <w:left w:w="110" w:type="dxa"/>
              <w:bottom w:w="110" w:type="dxa"/>
              <w:right w:w="110" w:type="dxa"/>
            </w:tcMar>
            <w:vAlign w:val="center"/>
          </w:tcPr>
          <w:p w14:paraId="3525C6DD" w14:textId="77777777" w:rsidR="00BF7615" w:rsidRDefault="000D7E1E">
            <w:pPr>
              <w:spacing w:after="0"/>
              <w:rPr>
                <w:rFonts w:hint="eastAsia"/>
              </w:rPr>
            </w:pPr>
            <w:r>
              <w:rPr>
                <w:b/>
                <w:color w:val="1F2937"/>
                <w:sz w:val="17"/>
              </w:rPr>
              <w:t>1,024</w:t>
            </w:r>
          </w:p>
        </w:tc>
        <w:tc>
          <w:tcPr>
            <w:tcW w:w="5025" w:type="dxa"/>
            <w:shd w:val="clear" w:color="auto" w:fill="FFFFFF"/>
            <w:tcMar>
              <w:top w:w="110" w:type="dxa"/>
              <w:left w:w="110" w:type="dxa"/>
              <w:bottom w:w="110" w:type="dxa"/>
              <w:right w:w="110" w:type="dxa"/>
            </w:tcMar>
            <w:vAlign w:val="center"/>
          </w:tcPr>
          <w:p w14:paraId="054AD4E5" w14:textId="77777777" w:rsidR="00BF7615" w:rsidRDefault="000D7E1E">
            <w:pPr>
              <w:spacing w:after="0"/>
              <w:rPr>
                <w:rFonts w:hint="eastAsia"/>
              </w:rPr>
            </w:pPr>
            <w:r>
              <w:rPr>
                <w:color w:val="1F2937"/>
                <w:sz w:val="17"/>
              </w:rPr>
              <w:t>Permit validated reasoning workloads to finish while retaining a hard boundary.</w:t>
            </w:r>
          </w:p>
        </w:tc>
      </w:tr>
      <w:tr w:rsidR="00BF7615" w14:paraId="42926426" w14:textId="77777777" w:rsidTr="00703378">
        <w:trPr>
          <w:trHeight w:val="163"/>
          <w:jc w:val="center"/>
        </w:trPr>
        <w:tc>
          <w:tcPr>
            <w:tcW w:w="2850" w:type="dxa"/>
            <w:shd w:val="clear" w:color="auto" w:fill="F7F9FC"/>
            <w:tcMar>
              <w:top w:w="110" w:type="dxa"/>
              <w:left w:w="110" w:type="dxa"/>
              <w:bottom w:w="110" w:type="dxa"/>
              <w:right w:w="110" w:type="dxa"/>
            </w:tcMar>
            <w:vAlign w:val="center"/>
          </w:tcPr>
          <w:p w14:paraId="0825B926" w14:textId="77777777" w:rsidR="00BF7615" w:rsidRDefault="000D7E1E">
            <w:pPr>
              <w:spacing w:after="0"/>
              <w:rPr>
                <w:rFonts w:hint="eastAsia"/>
              </w:rPr>
            </w:pPr>
            <w:r>
              <w:rPr>
                <w:color w:val="1F2937"/>
                <w:sz w:val="17"/>
              </w:rPr>
              <w:t>Streaming</w:t>
            </w:r>
          </w:p>
        </w:tc>
        <w:tc>
          <w:tcPr>
            <w:tcW w:w="2850" w:type="dxa"/>
            <w:shd w:val="clear" w:color="auto" w:fill="F7F9FC"/>
            <w:tcMar>
              <w:top w:w="110" w:type="dxa"/>
              <w:left w:w="110" w:type="dxa"/>
              <w:bottom w:w="110" w:type="dxa"/>
              <w:right w:w="110" w:type="dxa"/>
            </w:tcMar>
            <w:vAlign w:val="center"/>
          </w:tcPr>
          <w:p w14:paraId="2A3CAB97" w14:textId="77777777" w:rsidR="00BF7615" w:rsidRDefault="000D7E1E">
            <w:pPr>
              <w:spacing w:after="0"/>
              <w:rPr>
                <w:rFonts w:hint="eastAsia"/>
              </w:rPr>
            </w:pPr>
            <w:r>
              <w:rPr>
                <w:b/>
                <w:color w:val="1F2937"/>
                <w:sz w:val="17"/>
              </w:rPr>
              <w:t>Enabled</w:t>
            </w:r>
          </w:p>
        </w:tc>
        <w:tc>
          <w:tcPr>
            <w:tcW w:w="5025" w:type="dxa"/>
            <w:shd w:val="clear" w:color="auto" w:fill="F7F9FC"/>
            <w:tcMar>
              <w:top w:w="110" w:type="dxa"/>
              <w:left w:w="110" w:type="dxa"/>
              <w:bottom w:w="110" w:type="dxa"/>
              <w:right w:w="110" w:type="dxa"/>
            </w:tcMar>
            <w:vAlign w:val="center"/>
          </w:tcPr>
          <w:p w14:paraId="748F8FF3" w14:textId="77777777" w:rsidR="00BF7615" w:rsidRDefault="000D7E1E">
            <w:pPr>
              <w:spacing w:after="0"/>
              <w:rPr>
                <w:rFonts w:hint="eastAsia"/>
              </w:rPr>
            </w:pPr>
            <w:r>
              <w:rPr>
                <w:color w:val="1F2937"/>
                <w:sz w:val="17"/>
              </w:rPr>
              <w:t>Measure first output and detect semantic phase transitions.</w:t>
            </w:r>
          </w:p>
        </w:tc>
      </w:tr>
      <w:tr w:rsidR="00BF7615" w14:paraId="2039FCF5" w14:textId="77777777" w:rsidTr="00703378">
        <w:trPr>
          <w:trHeight w:val="163"/>
          <w:jc w:val="center"/>
        </w:trPr>
        <w:tc>
          <w:tcPr>
            <w:tcW w:w="2850" w:type="dxa"/>
            <w:shd w:val="clear" w:color="auto" w:fill="FFFFFF"/>
            <w:tcMar>
              <w:top w:w="110" w:type="dxa"/>
              <w:left w:w="110" w:type="dxa"/>
              <w:bottom w:w="110" w:type="dxa"/>
              <w:right w:w="110" w:type="dxa"/>
            </w:tcMar>
            <w:vAlign w:val="center"/>
          </w:tcPr>
          <w:p w14:paraId="0518DDD9" w14:textId="77777777" w:rsidR="00BF7615" w:rsidRDefault="000D7E1E">
            <w:pPr>
              <w:spacing w:after="0"/>
              <w:rPr>
                <w:rFonts w:hint="eastAsia"/>
              </w:rPr>
            </w:pPr>
            <w:r>
              <w:rPr>
                <w:color w:val="1F2937"/>
                <w:sz w:val="17"/>
              </w:rPr>
              <w:t>Concurrency</w:t>
            </w:r>
          </w:p>
        </w:tc>
        <w:tc>
          <w:tcPr>
            <w:tcW w:w="2850" w:type="dxa"/>
            <w:shd w:val="clear" w:color="auto" w:fill="FFFFFF"/>
            <w:tcMar>
              <w:top w:w="110" w:type="dxa"/>
              <w:left w:w="110" w:type="dxa"/>
              <w:bottom w:w="110" w:type="dxa"/>
              <w:right w:w="110" w:type="dxa"/>
            </w:tcMar>
            <w:vAlign w:val="center"/>
          </w:tcPr>
          <w:p w14:paraId="260391B8" w14:textId="77777777" w:rsidR="00BF7615" w:rsidRDefault="000D7E1E">
            <w:pPr>
              <w:spacing w:after="0"/>
              <w:rPr>
                <w:rFonts w:hint="eastAsia"/>
              </w:rPr>
            </w:pPr>
            <w:r>
              <w:rPr>
                <w:b/>
                <w:color w:val="1F2937"/>
                <w:sz w:val="17"/>
              </w:rPr>
              <w:t>1 initially</w:t>
            </w:r>
          </w:p>
        </w:tc>
        <w:tc>
          <w:tcPr>
            <w:tcW w:w="5025" w:type="dxa"/>
            <w:shd w:val="clear" w:color="auto" w:fill="FFFFFF"/>
            <w:tcMar>
              <w:top w:w="110" w:type="dxa"/>
              <w:left w:w="110" w:type="dxa"/>
              <w:bottom w:w="110" w:type="dxa"/>
              <w:right w:w="110" w:type="dxa"/>
            </w:tcMar>
            <w:vAlign w:val="center"/>
          </w:tcPr>
          <w:p w14:paraId="71FA090C" w14:textId="77777777" w:rsidR="00BF7615" w:rsidRDefault="000D7E1E">
            <w:pPr>
              <w:spacing w:after="0"/>
              <w:rPr>
                <w:rFonts w:hint="eastAsia"/>
              </w:rPr>
            </w:pPr>
            <w:r>
              <w:rPr>
                <w:color w:val="1F2937"/>
                <w:sz w:val="17"/>
              </w:rPr>
              <w:t xml:space="preserve">Keep phase attribution and repeated decode </w:t>
            </w:r>
            <w:r>
              <w:rPr>
                <w:color w:val="1F2937"/>
                <w:sz w:val="17"/>
              </w:rPr>
              <w:t>groups interpretable.</w:t>
            </w:r>
          </w:p>
        </w:tc>
      </w:tr>
      <w:tr w:rsidR="00BF7615" w14:paraId="280BFA9B" w14:textId="77777777" w:rsidTr="00703378">
        <w:trPr>
          <w:trHeight w:val="163"/>
          <w:jc w:val="center"/>
        </w:trPr>
        <w:tc>
          <w:tcPr>
            <w:tcW w:w="2850" w:type="dxa"/>
            <w:shd w:val="clear" w:color="auto" w:fill="F7F9FC"/>
            <w:tcMar>
              <w:top w:w="110" w:type="dxa"/>
              <w:left w:w="110" w:type="dxa"/>
              <w:bottom w:w="110" w:type="dxa"/>
              <w:right w:w="110" w:type="dxa"/>
            </w:tcMar>
            <w:vAlign w:val="center"/>
          </w:tcPr>
          <w:p w14:paraId="6BAA168C" w14:textId="77777777" w:rsidR="00BF7615" w:rsidRDefault="000D7E1E">
            <w:pPr>
              <w:spacing w:after="0"/>
              <w:rPr>
                <w:rFonts w:hint="eastAsia"/>
              </w:rPr>
            </w:pPr>
            <w:r>
              <w:rPr>
                <w:color w:val="1F2937"/>
                <w:sz w:val="17"/>
              </w:rPr>
              <w:t>Prefix caching</w:t>
            </w:r>
          </w:p>
        </w:tc>
        <w:tc>
          <w:tcPr>
            <w:tcW w:w="2850" w:type="dxa"/>
            <w:shd w:val="clear" w:color="auto" w:fill="F7F9FC"/>
            <w:tcMar>
              <w:top w:w="110" w:type="dxa"/>
              <w:left w:w="110" w:type="dxa"/>
              <w:bottom w:w="110" w:type="dxa"/>
              <w:right w:w="110" w:type="dxa"/>
            </w:tcMar>
            <w:vAlign w:val="center"/>
          </w:tcPr>
          <w:p w14:paraId="772FE700" w14:textId="77777777" w:rsidR="00BF7615" w:rsidRDefault="000D7E1E">
            <w:pPr>
              <w:spacing w:after="0"/>
              <w:rPr>
                <w:rFonts w:hint="eastAsia"/>
              </w:rPr>
            </w:pPr>
            <w:r>
              <w:rPr>
                <w:b/>
                <w:color w:val="1F2937"/>
                <w:sz w:val="17"/>
              </w:rPr>
              <w:t>Enabled; controlled cold primary</w:t>
            </w:r>
          </w:p>
        </w:tc>
        <w:tc>
          <w:tcPr>
            <w:tcW w:w="5025" w:type="dxa"/>
            <w:shd w:val="clear" w:color="auto" w:fill="F7F9FC"/>
            <w:tcMar>
              <w:top w:w="110" w:type="dxa"/>
              <w:left w:w="110" w:type="dxa"/>
              <w:bottom w:w="110" w:type="dxa"/>
              <w:right w:w="110" w:type="dxa"/>
            </w:tcMar>
            <w:vAlign w:val="center"/>
          </w:tcPr>
          <w:p w14:paraId="03BDEBCE" w14:textId="77777777" w:rsidR="00BF7615" w:rsidRDefault="000D7E1E">
            <w:pPr>
              <w:spacing w:after="0"/>
              <w:rPr>
                <w:rFonts w:hint="eastAsia"/>
              </w:rPr>
            </w:pPr>
            <w:r>
              <w:rPr>
                <w:color w:val="1F2937"/>
                <w:sz w:val="17"/>
              </w:rPr>
              <w:t>Retain production-relevant capability while controlling prompt reuse.</w:t>
            </w:r>
          </w:p>
        </w:tc>
      </w:tr>
    </w:tbl>
    <w:p w14:paraId="6E99CBB2" w14:textId="77777777" w:rsidR="00BF7615" w:rsidRDefault="000D7E1E">
      <w:pPr>
        <w:pStyle w:val="Heading2"/>
      </w:pPr>
      <w:r>
        <w:t>2.3 Frozen workload set</w:t>
      </w:r>
    </w:p>
    <w:p w14:paraId="1D285F22" w14:textId="77777777" w:rsidR="00BF7615" w:rsidRDefault="000D7E1E">
      <w:pPr>
        <w:rPr>
          <w:rFonts w:hint="eastAsia"/>
        </w:rPr>
      </w:pPr>
      <w:r>
        <w:t xml:space="preserve">Three strict prompts were frozen per class, giving nine prompt records shared </w:t>
      </w:r>
      <w:r>
        <w:t>byte-for-byte across normal and MTP conditions.</w:t>
      </w:r>
    </w:p>
    <w:p w14:paraId="30D64B62" w14:textId="77777777" w:rsidR="00BF7615" w:rsidRDefault="000D7E1E">
      <w:pPr>
        <w:pStyle w:val="ListBullet"/>
        <w:rPr>
          <w:rFonts w:hint="eastAsia"/>
        </w:rPr>
      </w:pPr>
      <w:r>
        <w:t>Plain text: constrained eight-line free-verse poems, six to twelve words per line.</w:t>
      </w:r>
    </w:p>
    <w:p w14:paraId="2816B2A3" w14:textId="77777777" w:rsidR="00BF7615" w:rsidRDefault="000D7E1E">
      <w:pPr>
        <w:pStyle w:val="ListBullet"/>
        <w:rPr>
          <w:rFonts w:hint="eastAsia"/>
        </w:rPr>
      </w:pPr>
      <w:r>
        <w:t>Reasoning intensive: three Amdahl’s-law problems with exact FINAL-line reference answers.</w:t>
      </w:r>
    </w:p>
    <w:p w14:paraId="09CFEE5C" w14:textId="77777777" w:rsidR="00BF7615" w:rsidRDefault="000D7E1E">
      <w:pPr>
        <w:pStyle w:val="ListBullet"/>
        <w:rPr>
          <w:rFonts w:hint="eastAsia"/>
        </w:rPr>
      </w:pPr>
      <w:r>
        <w:lastRenderedPageBreak/>
        <w:t>Tool calling: weather requests with</w:t>
      </w:r>
      <w:r>
        <w:t xml:space="preserve"> exact expected get_weather arguments; irrelevant get_local_time and create_reminder tools remain available so selection is non-trivial.</w:t>
      </w:r>
    </w:p>
    <w:p w14:paraId="08F7FC6B" w14:textId="77777777" w:rsidR="00BF7615" w:rsidRDefault="000D7E1E">
      <w:pPr>
        <w:rPr>
          <w:rFonts w:hint="eastAsia"/>
        </w:rPr>
      </w:pPr>
      <w:r>
        <w:t>A preliminary LM Studio semantic check showed the selected plain task and reasoning-intensive task produce distinct rea</w:t>
      </w:r>
      <w:r>
        <w:t>soning trajectories. That check validates task separation only; it is not evidence for the A10G vLLM study.</w:t>
      </w:r>
    </w:p>
    <w:p w14:paraId="2C9B42CE" w14:textId="77777777" w:rsidR="00BF7615" w:rsidRDefault="000D7E1E">
      <w:pPr>
        <w:pStyle w:val="Heading1"/>
      </w:pPr>
      <w:r>
        <w:t>3. Phase-attribution method</w:t>
      </w:r>
    </w:p>
    <w:p w14:paraId="5B5E9993" w14:textId="77777777" w:rsidR="00BF7615" w:rsidRDefault="000D7E1E">
      <w:pPr>
        <w:pStyle w:val="Heading2"/>
      </w:pPr>
      <w:r>
        <w:t>3.1 Client-observed semantic phases</w:t>
      </w:r>
    </w:p>
    <w:p w14:paraId="573673D8" w14:textId="77777777" w:rsidR="00BF7615" w:rsidRDefault="000D7E1E">
      <w:pPr>
        <w:rPr>
          <w:rFonts w:hint="eastAsia"/>
        </w:rPr>
      </w:pPr>
      <w:r>
        <w:t>The client consumes the streamed Chat Completions response with the Gemma 4 reasonin</w:t>
      </w:r>
      <w:r>
        <w:t>g and tool parsers enabled. The primary phase detector classifies structured deltas as reasoning, final answer, or tool call.</w:t>
      </w:r>
    </w:p>
    <w:p w14:paraId="5F06FE55" w14:textId="77777777" w:rsidR="00BF7615" w:rsidRDefault="000D7E1E">
      <w:pPr>
        <w:pStyle w:val="CodeBlock"/>
        <w:keepLines/>
        <w:rPr>
          <w:rFonts w:hint="eastAsia"/>
        </w:rPr>
      </w:pPr>
      <w:r>
        <w:t>delta.reasoning  -&gt; reasoning output</w:t>
      </w:r>
      <w:r>
        <w:br/>
        <w:t>delta.content    -&gt; final-answer output</w:t>
      </w:r>
      <w:r>
        <w:br/>
        <w:t>delta.tool_calls -&gt; structured tool generation</w:t>
      </w:r>
    </w:p>
    <w:p w14:paraId="2A57ED0E" w14:textId="77777777" w:rsidR="00BF7615" w:rsidRDefault="000D7E1E">
      <w:pPr>
        <w:rPr>
          <w:rFonts w:hint="eastAsia"/>
        </w:rPr>
      </w:pPr>
      <w:r>
        <w:t>The cl</w:t>
      </w:r>
      <w:r>
        <w:t>ient records time.perf_counter_ns() immediately before request submission, for every received stream event, on each first phase transition, and immediately after stream completion. Raw timestamps remain in nanoseconds; derived intervals are reported in mil</w:t>
      </w:r>
      <w:r>
        <w:t>liseconds.</w:t>
      </w:r>
    </w:p>
    <w:p w14:paraId="0A2DF453" w14:textId="77777777" w:rsidR="00BF7615" w:rsidRDefault="000D7E1E">
      <w:pPr>
        <w:pStyle w:val="Heading2"/>
      </w:pPr>
      <w:r>
        <w:t>3.2 NVTX and Nsight Systems correlation</w:t>
      </w:r>
    </w:p>
    <w:p w14:paraId="2002DD82" w14:textId="77777777" w:rsidR="00BF7615" w:rsidRDefault="000D7E1E">
      <w:pPr>
        <w:rPr>
          <w:rFonts w:hint="eastAsia"/>
        </w:rPr>
      </w:pPr>
      <w:r>
        <w:t>During profile runs, the client emits NVTX markers containing the run identity:</w:t>
      </w:r>
    </w:p>
    <w:p w14:paraId="28F89766" w14:textId="77777777" w:rsidR="00BF7615" w:rsidRDefault="000D7E1E">
      <w:pPr>
        <w:pStyle w:val="CodeBlock"/>
        <w:keepLines/>
        <w:rPr>
          <w:rFonts w:hint="eastAsia"/>
        </w:rPr>
      </w:pPr>
      <w:r>
        <w:t>RUN_START:&lt;run_id&gt;</w:t>
      </w:r>
      <w:r>
        <w:br/>
        <w:t>FIRST_OUTPUT:&lt;run_id&gt;</w:t>
      </w:r>
      <w:r>
        <w:br/>
        <w:t>FIRST_REASONING:&lt;run_id&gt;</w:t>
      </w:r>
      <w:r>
        <w:br/>
        <w:t>FIRST_FINAL:&lt;run_id&gt;</w:t>
      </w:r>
      <w:r>
        <w:br/>
        <w:t>FIRST_TOOL_CALL:&lt;run_id&gt;</w:t>
      </w:r>
      <w:r>
        <w:br/>
        <w:t>RUN_END:&lt;run_</w:t>
      </w:r>
      <w:r>
        <w:t>id&gt;</w:t>
      </w:r>
    </w:p>
    <w:p w14:paraId="63D4EF5B" w14:textId="77777777" w:rsidR="00BF7615" w:rsidRDefault="000D7E1E">
      <w:pPr>
        <w:rPr>
          <w:rFonts w:hint="eastAsia"/>
        </w:rPr>
      </w:pPr>
      <w:r>
        <w:t>The markers appear on the client process timeline, while vLLM EngineCore CUDA calls, CUDA Graph launches, kernels, transfers, synchronization, and idle periods appear on vLLM and GPU tracks. When both are captured in one Nsight Systems report, they sha</w:t>
      </w:r>
      <w:r>
        <w:t>re one profiler time axis and support temporal phase attribution.</w:t>
      </w:r>
    </w:p>
    <w:p w14:paraId="7AEF64F3" w14:textId="77777777" w:rsidR="00BF7615" w:rsidRDefault="000D7E1E">
      <w:pPr>
        <w:rPr>
          <w:rFonts w:hint="eastAsia"/>
        </w:rPr>
      </w:pPr>
      <w:r>
        <w:t xml:space="preserve">The intended paper wording is “reasoning-associated execution interval,” “final-answer-associated execution interval,” or “tool-generation-associated execution interval.” The study will not </w:t>
      </w:r>
      <w:r>
        <w:t>call an individual kernel reasoning-specific, nor claim that a client marker is the exact GPU generation timestamp of a token.</w:t>
      </w:r>
    </w:p>
    <w:p w14:paraId="4D00B7E3" w14:textId="77777777" w:rsidR="00BF7615" w:rsidRDefault="000D7E1E">
      <w:pPr>
        <w:pStyle w:val="Heading2"/>
      </w:pPr>
      <w:r>
        <w:t>3.3 Expected interval interpretation</w:t>
      </w:r>
    </w:p>
    <w:p w14:paraId="2F9B51D0" w14:textId="77777777" w:rsidR="00BF7615" w:rsidRDefault="000D7E1E">
      <w:pPr>
        <w:pStyle w:val="CodeBlock"/>
        <w:keepLines/>
        <w:rPr>
          <w:rFonts w:hint="eastAsia"/>
        </w:rPr>
      </w:pPr>
      <w:r>
        <w:t>RUN_START -&gt; FIRST_REASONING</w:t>
      </w:r>
      <w:r>
        <w:br/>
        <w:t xml:space="preserve">  request admission, prefill, and first observable output</w:t>
      </w:r>
      <w:r>
        <w:br/>
      </w:r>
      <w:r>
        <w:br/>
        <w:t>FIRS</w:t>
      </w:r>
      <w:r>
        <w:t>T_REASONING -&gt; FIRST_FINAL</w:t>
      </w:r>
      <w:r>
        <w:br/>
        <w:t xml:space="preserve">  reasoning-associated decode interval</w:t>
      </w:r>
      <w:r>
        <w:br/>
      </w:r>
      <w:r>
        <w:br/>
        <w:t>FIRST_FINAL -&gt; RUN_END</w:t>
      </w:r>
      <w:r>
        <w:br/>
        <w:t xml:space="preserve">  final-answer-associated decode interval</w:t>
      </w:r>
      <w:r>
        <w:br/>
      </w:r>
      <w:r>
        <w:br/>
        <w:t>For tool workloads, FIRST_TOOL_CALL replaces FIRST_FINAL.</w:t>
      </w:r>
    </w:p>
    <w:p w14:paraId="749E63F0" w14:textId="77777777" w:rsidR="00BF7615" w:rsidRDefault="000D7E1E">
      <w:pPr>
        <w:pStyle w:val="Heading1"/>
      </w:pPr>
      <w:r>
        <w:t>4. Protocol-coupled streaming client</w:t>
      </w:r>
    </w:p>
    <w:p w14:paraId="7B6CE40C" w14:textId="77777777" w:rsidR="00BF7615" w:rsidRDefault="000D7E1E">
      <w:pPr>
        <w:rPr>
          <w:rFonts w:hint="eastAsia"/>
        </w:rPr>
      </w:pPr>
      <w:r>
        <w:t xml:space="preserve">gpu_prof_client.py was </w:t>
      </w:r>
      <w:r>
        <w:t>implemented as the single request generator for parser validation, warm-up, clean benchmarks, and profiler-correlated executions. The client refuses protocol drift by validating protocol version, frozen status, and SHA-256 checksum before sending a request</w:t>
      </w:r>
      <w:r>
        <w:t>.</w:t>
      </w:r>
    </w:p>
    <w:p w14:paraId="1B7595ED" w14:textId="77777777" w:rsidR="00BF7615" w:rsidRDefault="000D7E1E">
      <w:pPr>
        <w:pStyle w:val="Heading2"/>
      </w:pPr>
      <w:r>
        <w:t>4.1 Supported invocation</w:t>
      </w:r>
    </w:p>
    <w:p w14:paraId="0905586D" w14:textId="77777777" w:rsidR="00BF7615" w:rsidRDefault="000D7E1E">
      <w:pPr>
        <w:pStyle w:val="CodeBlock"/>
        <w:keepLines/>
        <w:rPr>
          <w:rFonts w:hint="eastAsia"/>
        </w:rPr>
      </w:pPr>
      <w:r>
        <w:t>python gpu_prof_client.py \</w:t>
      </w:r>
      <w:r>
        <w:br/>
        <w:t xml:space="preserve">  --mode normal \</w:t>
      </w:r>
      <w:r>
        <w:br/>
        <w:t xml:space="preserve">  --workload reasoning_intensive \</w:t>
      </w:r>
      <w:r>
        <w:br/>
        <w:t xml:space="preserve">  --prompt-id reasoning_001 \</w:t>
      </w:r>
      <w:r>
        <w:br/>
        <w:t xml:space="preserve">  --repetition 1 \</w:t>
      </w:r>
      <w:r>
        <w:br/>
        <w:t xml:space="preserve">  --run-type parser-validation \</w:t>
      </w:r>
      <w:r>
        <w:br/>
        <w:t xml:space="preserve">  --protocol protocol_v1.0.yaml</w:t>
      </w:r>
    </w:p>
    <w:p w14:paraId="2D1E1156" w14:textId="77777777" w:rsidR="00BF7615" w:rsidRDefault="000D7E1E">
      <w:pPr>
        <w:pStyle w:val="Heading2"/>
      </w:pPr>
      <w:r>
        <w:lastRenderedPageBreak/>
        <w:t>4.2 Implemented responsibilities</w:t>
      </w:r>
    </w:p>
    <w:p w14:paraId="758BCB82" w14:textId="77777777" w:rsidR="00BF7615" w:rsidRDefault="000D7E1E">
      <w:pPr>
        <w:pStyle w:val="ListBullet"/>
        <w:rPr>
          <w:rFonts w:hint="eastAsia"/>
        </w:rPr>
      </w:pPr>
      <w:r>
        <w:t>Validate mode, workload, prompt ID, repetition, protocol version, status, and checksum.</w:t>
      </w:r>
    </w:p>
    <w:p w14:paraId="0F0B2E12" w14:textId="77777777" w:rsidR="00BF7615" w:rsidRDefault="000D7E1E">
      <w:pPr>
        <w:pStyle w:val="ListBullet"/>
        <w:rPr>
          <w:rFonts w:hint="eastAsia"/>
        </w:rPr>
      </w:pPr>
      <w:r>
        <w:t>Build the request entirely from the frozen protocol.</w:t>
      </w:r>
    </w:p>
    <w:p w14:paraId="3AF3151F" w14:textId="77777777" w:rsidR="00BF7615" w:rsidRDefault="000D7E1E">
      <w:pPr>
        <w:pStyle w:val="ListBullet"/>
        <w:rPr>
          <w:rFonts w:hint="eastAsia"/>
        </w:rPr>
      </w:pPr>
      <w:r>
        <w:t xml:space="preserve">Use a paired prompt-instance identifier independent of decoding mode so normal and MTP receive equivalent prepared </w:t>
      </w:r>
      <w:r>
        <w:t>payloads.</w:t>
      </w:r>
    </w:p>
    <w:p w14:paraId="1A7E2307" w14:textId="77777777" w:rsidR="00BF7615" w:rsidRDefault="000D7E1E">
      <w:pPr>
        <w:pStyle w:val="ListBullet"/>
        <w:rPr>
          <w:rFonts w:hint="eastAsia"/>
        </w:rPr>
      </w:pPr>
      <w:r>
        <w:t>Record every raw streamed chunk and monotonic observation timestamp.</w:t>
      </w:r>
    </w:p>
    <w:p w14:paraId="74127212" w14:textId="77777777" w:rsidR="00BF7615" w:rsidRDefault="000D7E1E">
      <w:pPr>
        <w:pStyle w:val="ListBullet"/>
        <w:rPr>
          <w:rFonts w:hint="eastAsia"/>
        </w:rPr>
      </w:pPr>
      <w:r>
        <w:t>Reconstruct reasoning text, final-answer text, and fragmented tool calls.</w:t>
      </w:r>
    </w:p>
    <w:p w14:paraId="02AF1507" w14:textId="77777777" w:rsidR="00BF7615" w:rsidRDefault="000D7E1E">
      <w:pPr>
        <w:pStyle w:val="ListBullet"/>
        <w:rPr>
          <w:rFonts w:hint="eastAsia"/>
        </w:rPr>
      </w:pPr>
      <w:r>
        <w:t>Validate poem format, exact reasoning answer, or expected tool name and arguments.</w:t>
      </w:r>
    </w:p>
    <w:p w14:paraId="11C66405" w14:textId="77777777" w:rsidR="00BF7615" w:rsidRDefault="000D7E1E">
      <w:pPr>
        <w:pStyle w:val="ListBullet"/>
        <w:rPr>
          <w:rFonts w:hint="eastAsia"/>
        </w:rPr>
      </w:pPr>
      <w:r>
        <w:t>Calculate time to fi</w:t>
      </w:r>
      <w:r>
        <w:t>rst output, time to first final/tool output, end-to-end latency, phase-associated durations, and decode-token rate.</w:t>
      </w:r>
    </w:p>
    <w:p w14:paraId="02F7C952" w14:textId="77777777" w:rsidR="00BF7615" w:rsidRDefault="000D7E1E">
      <w:pPr>
        <w:pStyle w:val="ListBullet"/>
        <w:rPr>
          <w:rFonts w:hint="eastAsia"/>
        </w:rPr>
      </w:pPr>
      <w:r>
        <w:t>Write raw.jsonl and summary.json for every physical execution.</w:t>
      </w:r>
    </w:p>
    <w:p w14:paraId="76F30D6D" w14:textId="77777777" w:rsidR="00BF7615" w:rsidRDefault="000D7E1E">
      <w:pPr>
        <w:pStyle w:val="ListBullet"/>
        <w:rPr>
          <w:rFonts w:hint="eastAsia"/>
        </w:rPr>
      </w:pPr>
      <w:r>
        <w:t>Append results.csv only for clean benchmark runs.</w:t>
      </w:r>
    </w:p>
    <w:p w14:paraId="6557091B" w14:textId="77777777" w:rsidR="00BF7615" w:rsidRDefault="000D7E1E">
      <w:pPr>
        <w:pStyle w:val="ListBullet"/>
        <w:rPr>
          <w:rFonts w:hint="eastAsia"/>
        </w:rPr>
      </w:pPr>
      <w:r>
        <w:t xml:space="preserve">Emit NVTX markers only for </w:t>
      </w:r>
      <w:r>
        <w:t>profile runs.</w:t>
      </w:r>
    </w:p>
    <w:p w14:paraId="570540FA" w14:textId="77777777" w:rsidR="00BF7615" w:rsidRDefault="000D7E1E">
      <w:pPr>
        <w:pStyle w:val="Heading2"/>
      </w:pPr>
      <w:r>
        <w:t>4.3 Minimal artifacts</w:t>
      </w:r>
    </w:p>
    <w:p w14:paraId="7F9A8D6F" w14:textId="77777777" w:rsidR="00BF7615" w:rsidRDefault="000D7E1E">
      <w:pPr>
        <w:pStyle w:val="CodeBlock"/>
        <w:keepLines/>
        <w:rPr>
          <w:rFonts w:hint="eastAsia"/>
        </w:rPr>
      </w:pPr>
      <w:r>
        <w:t>runs/&lt;run_id&gt;/</w:t>
      </w:r>
      <w:r>
        <w:br/>
        <w:t xml:space="preserve">  raw.jsonl</w:t>
      </w:r>
      <w:r>
        <w:br/>
        <w:t xml:space="preserve">  summary.json</w:t>
      </w:r>
      <w:r>
        <w:br/>
      </w:r>
      <w:r>
        <w:br/>
        <w:t>results.csv                 # clean benchmark runs only</w:t>
      </w:r>
      <w:r>
        <w:br/>
        <w:t>profiles/torch/             # portable PyTorch traces</w:t>
      </w:r>
      <w:r>
        <w:br/>
        <w:t>profiles/nsys/              # .nsys-rep reports</w:t>
      </w:r>
      <w:r>
        <w:br/>
        <w:t xml:space="preserve">profiles/ncu/      </w:t>
      </w:r>
      <w:r>
        <w:t xml:space="preserve">         # parked until kernel selection</w:t>
      </w:r>
    </w:p>
    <w:p w14:paraId="6730DAA0" w14:textId="77777777" w:rsidR="00BF7615" w:rsidRDefault="000D7E1E">
      <w:pPr>
        <w:rPr>
          <w:rFonts w:hint="eastAsia"/>
        </w:rPr>
      </w:pPr>
      <w:r>
        <w:t>Profiler-run client timings remain diagnostic synchronization metadata. They are never mixed into results.csv or used as clean quantitative performance evidence.</w:t>
      </w:r>
    </w:p>
    <w:p w14:paraId="58401D57" w14:textId="77777777" w:rsidR="00BF7615" w:rsidRDefault="000D7E1E">
      <w:pPr>
        <w:pStyle w:val="Heading1"/>
      </w:pPr>
      <w:r>
        <w:t>5. Isolated execution model</w:t>
      </w:r>
    </w:p>
    <w:tbl>
      <w:tblPr>
        <w:tblW w:w="10906" w:type="dxa"/>
        <w:jc w:val="center"/>
        <w:tblLayout w:type="fixed"/>
        <w:tblLook w:val="04A0" w:firstRow="1" w:lastRow="0" w:firstColumn="1" w:lastColumn="0" w:noHBand="0" w:noVBand="1"/>
      </w:tblPr>
      <w:tblGrid>
        <w:gridCol w:w="2898"/>
        <w:gridCol w:w="2898"/>
        <w:gridCol w:w="5110"/>
      </w:tblGrid>
      <w:tr w:rsidR="00BF7615" w14:paraId="6566097A" w14:textId="77777777" w:rsidTr="00703378">
        <w:trPr>
          <w:trHeight w:val="191"/>
          <w:jc w:val="center"/>
        </w:trPr>
        <w:tc>
          <w:tcPr>
            <w:tcW w:w="2898" w:type="dxa"/>
            <w:shd w:val="clear" w:color="auto" w:fill="17365D"/>
            <w:tcMar>
              <w:top w:w="110" w:type="dxa"/>
              <w:left w:w="110" w:type="dxa"/>
              <w:bottom w:w="110" w:type="dxa"/>
              <w:right w:w="110" w:type="dxa"/>
            </w:tcMar>
            <w:vAlign w:val="center"/>
          </w:tcPr>
          <w:p w14:paraId="2EB27E0E" w14:textId="77777777" w:rsidR="00BF7615" w:rsidRDefault="000D7E1E">
            <w:pPr>
              <w:spacing w:after="0"/>
              <w:rPr>
                <w:rFonts w:hint="eastAsia"/>
              </w:rPr>
            </w:pPr>
            <w:r>
              <w:rPr>
                <w:b/>
                <w:color w:val="FFFFFF"/>
                <w:sz w:val="18"/>
              </w:rPr>
              <w:t>Execution</w:t>
            </w:r>
          </w:p>
        </w:tc>
        <w:tc>
          <w:tcPr>
            <w:tcW w:w="2898" w:type="dxa"/>
            <w:shd w:val="clear" w:color="auto" w:fill="17365D"/>
            <w:tcMar>
              <w:top w:w="110" w:type="dxa"/>
              <w:left w:w="110" w:type="dxa"/>
              <w:bottom w:w="110" w:type="dxa"/>
              <w:right w:w="110" w:type="dxa"/>
            </w:tcMar>
            <w:vAlign w:val="center"/>
          </w:tcPr>
          <w:p w14:paraId="109AA4B3" w14:textId="77777777" w:rsidR="00BF7615" w:rsidRDefault="000D7E1E">
            <w:pPr>
              <w:spacing w:after="0"/>
              <w:rPr>
                <w:rFonts w:hint="eastAsia"/>
              </w:rPr>
            </w:pPr>
            <w:r>
              <w:rPr>
                <w:b/>
                <w:color w:val="FFFFFF"/>
                <w:sz w:val="18"/>
              </w:rPr>
              <w:t>Instrumentation</w:t>
            </w:r>
          </w:p>
        </w:tc>
        <w:tc>
          <w:tcPr>
            <w:tcW w:w="5110" w:type="dxa"/>
            <w:shd w:val="clear" w:color="auto" w:fill="17365D"/>
            <w:tcMar>
              <w:top w:w="110" w:type="dxa"/>
              <w:left w:w="110" w:type="dxa"/>
              <w:bottom w:w="110" w:type="dxa"/>
              <w:right w:w="110" w:type="dxa"/>
            </w:tcMar>
            <w:vAlign w:val="center"/>
          </w:tcPr>
          <w:p w14:paraId="17AD10B1" w14:textId="77777777" w:rsidR="00BF7615" w:rsidRDefault="000D7E1E">
            <w:pPr>
              <w:spacing w:after="0"/>
              <w:rPr>
                <w:rFonts w:hint="eastAsia"/>
              </w:rPr>
            </w:pPr>
            <w:r>
              <w:rPr>
                <w:b/>
                <w:color w:val="FFFFFF"/>
                <w:sz w:val="18"/>
              </w:rPr>
              <w:t>Research use</w:t>
            </w:r>
          </w:p>
        </w:tc>
      </w:tr>
      <w:tr w:rsidR="00BF7615" w14:paraId="206DFDB0" w14:textId="77777777" w:rsidTr="00703378">
        <w:trPr>
          <w:trHeight w:val="179"/>
          <w:jc w:val="center"/>
        </w:trPr>
        <w:tc>
          <w:tcPr>
            <w:tcW w:w="2898" w:type="dxa"/>
            <w:shd w:val="clear" w:color="auto" w:fill="F7F9FC"/>
            <w:tcMar>
              <w:top w:w="110" w:type="dxa"/>
              <w:left w:w="110" w:type="dxa"/>
              <w:bottom w:w="110" w:type="dxa"/>
              <w:right w:w="110" w:type="dxa"/>
            </w:tcMar>
            <w:vAlign w:val="center"/>
          </w:tcPr>
          <w:p w14:paraId="1686697C" w14:textId="77777777" w:rsidR="00BF7615" w:rsidRDefault="000D7E1E">
            <w:pPr>
              <w:spacing w:after="0"/>
              <w:rPr>
                <w:rFonts w:hint="eastAsia"/>
              </w:rPr>
            </w:pPr>
            <w:r>
              <w:rPr>
                <w:color w:val="1F2937"/>
                <w:sz w:val="17"/>
              </w:rPr>
              <w:t>Clean benchmark</w:t>
            </w:r>
          </w:p>
        </w:tc>
        <w:tc>
          <w:tcPr>
            <w:tcW w:w="2898" w:type="dxa"/>
            <w:shd w:val="clear" w:color="auto" w:fill="F7F9FC"/>
            <w:tcMar>
              <w:top w:w="110" w:type="dxa"/>
              <w:left w:w="110" w:type="dxa"/>
              <w:bottom w:w="110" w:type="dxa"/>
              <w:right w:w="110" w:type="dxa"/>
            </w:tcMar>
            <w:vAlign w:val="center"/>
          </w:tcPr>
          <w:p w14:paraId="3D897D8F" w14:textId="77777777" w:rsidR="00BF7615" w:rsidRDefault="000D7E1E">
            <w:pPr>
              <w:spacing w:after="0"/>
              <w:rPr>
                <w:rFonts w:hint="eastAsia"/>
              </w:rPr>
            </w:pPr>
            <w:r>
              <w:rPr>
                <w:b/>
                <w:color w:val="1F2937"/>
                <w:sz w:val="17"/>
              </w:rPr>
              <w:t>Client timing only</w:t>
            </w:r>
          </w:p>
        </w:tc>
        <w:tc>
          <w:tcPr>
            <w:tcW w:w="5110" w:type="dxa"/>
            <w:shd w:val="clear" w:color="auto" w:fill="F7F9FC"/>
            <w:tcMar>
              <w:top w:w="110" w:type="dxa"/>
              <w:left w:w="110" w:type="dxa"/>
              <w:bottom w:w="110" w:type="dxa"/>
              <w:right w:w="110" w:type="dxa"/>
            </w:tcMar>
            <w:vAlign w:val="center"/>
          </w:tcPr>
          <w:p w14:paraId="5EA2A3AD" w14:textId="77777777" w:rsidR="00BF7615" w:rsidRDefault="000D7E1E">
            <w:pPr>
              <w:spacing w:after="0"/>
              <w:rPr>
                <w:rFonts w:hint="eastAsia"/>
              </w:rPr>
            </w:pPr>
            <w:r>
              <w:rPr>
                <w:color w:val="1F2937"/>
                <w:sz w:val="17"/>
              </w:rPr>
              <w:t>Quantitative TTFT, phase duration, latency, token counts, and output rate.</w:t>
            </w:r>
          </w:p>
        </w:tc>
      </w:tr>
      <w:tr w:rsidR="00BF7615" w14:paraId="69323B62" w14:textId="77777777" w:rsidTr="00703378">
        <w:trPr>
          <w:trHeight w:val="179"/>
          <w:jc w:val="center"/>
        </w:trPr>
        <w:tc>
          <w:tcPr>
            <w:tcW w:w="2898" w:type="dxa"/>
            <w:shd w:val="clear" w:color="auto" w:fill="FFFFFF"/>
            <w:tcMar>
              <w:top w:w="110" w:type="dxa"/>
              <w:left w:w="110" w:type="dxa"/>
              <w:bottom w:w="110" w:type="dxa"/>
              <w:right w:w="110" w:type="dxa"/>
            </w:tcMar>
            <w:vAlign w:val="center"/>
          </w:tcPr>
          <w:p w14:paraId="36AA1A9C" w14:textId="77777777" w:rsidR="00BF7615" w:rsidRDefault="000D7E1E">
            <w:pPr>
              <w:spacing w:after="0"/>
              <w:rPr>
                <w:rFonts w:hint="eastAsia"/>
              </w:rPr>
            </w:pPr>
            <w:r>
              <w:rPr>
                <w:color w:val="1F2937"/>
                <w:sz w:val="17"/>
              </w:rPr>
              <w:t>Nsight Systems</w:t>
            </w:r>
          </w:p>
        </w:tc>
        <w:tc>
          <w:tcPr>
            <w:tcW w:w="2898" w:type="dxa"/>
            <w:shd w:val="clear" w:color="auto" w:fill="FFFFFF"/>
            <w:tcMar>
              <w:top w:w="110" w:type="dxa"/>
              <w:left w:w="110" w:type="dxa"/>
              <w:bottom w:w="110" w:type="dxa"/>
              <w:right w:w="110" w:type="dxa"/>
            </w:tcMar>
            <w:vAlign w:val="center"/>
          </w:tcPr>
          <w:p w14:paraId="36CBAC10" w14:textId="77777777" w:rsidR="00BF7615" w:rsidRDefault="000D7E1E">
            <w:pPr>
              <w:spacing w:after="0"/>
              <w:rPr>
                <w:rFonts w:hint="eastAsia"/>
              </w:rPr>
            </w:pPr>
            <w:r>
              <w:rPr>
                <w:b/>
                <w:color w:val="1F2937"/>
                <w:sz w:val="17"/>
              </w:rPr>
              <w:t>Nsys plus client NVTX</w:t>
            </w:r>
          </w:p>
        </w:tc>
        <w:tc>
          <w:tcPr>
            <w:tcW w:w="5110" w:type="dxa"/>
            <w:shd w:val="clear" w:color="auto" w:fill="FFFFFF"/>
            <w:tcMar>
              <w:top w:w="110" w:type="dxa"/>
              <w:left w:w="110" w:type="dxa"/>
              <w:bottom w:w="110" w:type="dxa"/>
              <w:right w:w="110" w:type="dxa"/>
            </w:tcMar>
            <w:vAlign w:val="center"/>
          </w:tcPr>
          <w:p w14:paraId="3E94B00A" w14:textId="77777777" w:rsidR="00BF7615" w:rsidRDefault="000D7E1E">
            <w:pPr>
              <w:spacing w:after="0"/>
              <w:rPr>
                <w:rFonts w:hint="eastAsia"/>
              </w:rPr>
            </w:pPr>
            <w:r>
              <w:rPr>
                <w:color w:val="1F2937"/>
                <w:sz w:val="17"/>
              </w:rPr>
              <w:t>Primary timeline evidence and semantic-phase-associated CUDA analysis.</w:t>
            </w:r>
          </w:p>
        </w:tc>
      </w:tr>
      <w:tr w:rsidR="00BF7615" w14:paraId="2373D01D" w14:textId="77777777" w:rsidTr="00703378">
        <w:trPr>
          <w:trHeight w:val="347"/>
          <w:jc w:val="center"/>
        </w:trPr>
        <w:tc>
          <w:tcPr>
            <w:tcW w:w="2898" w:type="dxa"/>
            <w:shd w:val="clear" w:color="auto" w:fill="F7F9FC"/>
            <w:tcMar>
              <w:top w:w="110" w:type="dxa"/>
              <w:left w:w="110" w:type="dxa"/>
              <w:bottom w:w="110" w:type="dxa"/>
              <w:right w:w="110" w:type="dxa"/>
            </w:tcMar>
            <w:vAlign w:val="center"/>
          </w:tcPr>
          <w:p w14:paraId="471D10F1" w14:textId="77777777" w:rsidR="00BF7615" w:rsidRDefault="000D7E1E">
            <w:pPr>
              <w:spacing w:after="0"/>
              <w:rPr>
                <w:rFonts w:hint="eastAsia"/>
              </w:rPr>
            </w:pPr>
            <w:r>
              <w:rPr>
                <w:color w:val="1F2937"/>
                <w:sz w:val="17"/>
              </w:rPr>
              <w:t>PyTorch Profiler</w:t>
            </w:r>
          </w:p>
        </w:tc>
        <w:tc>
          <w:tcPr>
            <w:tcW w:w="2898" w:type="dxa"/>
            <w:shd w:val="clear" w:color="auto" w:fill="F7F9FC"/>
            <w:tcMar>
              <w:top w:w="110" w:type="dxa"/>
              <w:left w:w="110" w:type="dxa"/>
              <w:bottom w:w="110" w:type="dxa"/>
              <w:right w:w="110" w:type="dxa"/>
            </w:tcMar>
            <w:vAlign w:val="center"/>
          </w:tcPr>
          <w:p w14:paraId="411FCE6F" w14:textId="77777777" w:rsidR="00BF7615" w:rsidRDefault="000D7E1E">
            <w:pPr>
              <w:spacing w:after="0"/>
              <w:rPr>
                <w:rFonts w:hint="eastAsia"/>
              </w:rPr>
            </w:pPr>
            <w:r>
              <w:rPr>
                <w:b/>
                <w:color w:val="1F2937"/>
                <w:sz w:val="17"/>
              </w:rPr>
              <w:t>Profiler inside vLLM worker</w:t>
            </w:r>
          </w:p>
        </w:tc>
        <w:tc>
          <w:tcPr>
            <w:tcW w:w="5110" w:type="dxa"/>
            <w:shd w:val="clear" w:color="auto" w:fill="F7F9FC"/>
            <w:tcMar>
              <w:top w:w="110" w:type="dxa"/>
              <w:left w:w="110" w:type="dxa"/>
              <w:bottom w:w="110" w:type="dxa"/>
              <w:right w:w="110" w:type="dxa"/>
            </w:tcMar>
            <w:vAlign w:val="center"/>
          </w:tcPr>
          <w:p w14:paraId="7C3F4CD7" w14:textId="77777777" w:rsidR="00BF7615" w:rsidRDefault="000D7E1E">
            <w:pPr>
              <w:spacing w:after="0"/>
              <w:rPr>
                <w:rFonts w:hint="eastAsia"/>
              </w:rPr>
            </w:pPr>
            <w:r>
              <w:rPr>
                <w:color w:val="1F2937"/>
                <w:sz w:val="17"/>
              </w:rPr>
              <w:t>Supporting operator hierarchy, shapes, stacks, call counts, and CUDA associations.</w:t>
            </w:r>
          </w:p>
        </w:tc>
      </w:tr>
      <w:tr w:rsidR="00BF7615" w14:paraId="55CD9FBC" w14:textId="77777777" w:rsidTr="00703378">
        <w:trPr>
          <w:trHeight w:val="359"/>
          <w:jc w:val="center"/>
        </w:trPr>
        <w:tc>
          <w:tcPr>
            <w:tcW w:w="2898" w:type="dxa"/>
            <w:shd w:val="clear" w:color="auto" w:fill="FFFFFF"/>
            <w:tcMar>
              <w:top w:w="110" w:type="dxa"/>
              <w:left w:w="110" w:type="dxa"/>
              <w:bottom w:w="110" w:type="dxa"/>
              <w:right w:w="110" w:type="dxa"/>
            </w:tcMar>
            <w:vAlign w:val="center"/>
          </w:tcPr>
          <w:p w14:paraId="2D03B3B1" w14:textId="77777777" w:rsidR="00BF7615" w:rsidRDefault="000D7E1E">
            <w:pPr>
              <w:spacing w:after="0"/>
              <w:rPr>
                <w:rFonts w:hint="eastAsia"/>
              </w:rPr>
            </w:pPr>
            <w:r>
              <w:rPr>
                <w:color w:val="1F2937"/>
                <w:sz w:val="17"/>
              </w:rPr>
              <w:t>Nsight Compute</w:t>
            </w:r>
          </w:p>
        </w:tc>
        <w:tc>
          <w:tcPr>
            <w:tcW w:w="2898" w:type="dxa"/>
            <w:shd w:val="clear" w:color="auto" w:fill="FFFFFF"/>
            <w:tcMar>
              <w:top w:w="110" w:type="dxa"/>
              <w:left w:w="110" w:type="dxa"/>
              <w:bottom w:w="110" w:type="dxa"/>
              <w:right w:w="110" w:type="dxa"/>
            </w:tcMar>
            <w:vAlign w:val="center"/>
          </w:tcPr>
          <w:p w14:paraId="021147E6" w14:textId="77777777" w:rsidR="00BF7615" w:rsidRDefault="000D7E1E">
            <w:pPr>
              <w:spacing w:after="0"/>
              <w:rPr>
                <w:rFonts w:hint="eastAsia"/>
              </w:rPr>
            </w:pPr>
            <w:r>
              <w:rPr>
                <w:b/>
                <w:color w:val="1F2937"/>
                <w:sz w:val="17"/>
              </w:rPr>
              <w:t>Deferred</w:t>
            </w:r>
          </w:p>
        </w:tc>
        <w:tc>
          <w:tcPr>
            <w:tcW w:w="5110" w:type="dxa"/>
            <w:shd w:val="clear" w:color="auto" w:fill="FFFFFF"/>
            <w:tcMar>
              <w:top w:w="110" w:type="dxa"/>
              <w:left w:w="110" w:type="dxa"/>
              <w:bottom w:w="110" w:type="dxa"/>
              <w:right w:w="110" w:type="dxa"/>
            </w:tcMar>
            <w:vAlign w:val="center"/>
          </w:tcPr>
          <w:p w14:paraId="6BFFF7AD" w14:textId="77777777" w:rsidR="00BF7615" w:rsidRDefault="000D7E1E">
            <w:pPr>
              <w:spacing w:after="0"/>
              <w:rPr>
                <w:rFonts w:hint="eastAsia"/>
              </w:rPr>
            </w:pPr>
            <w:r>
              <w:rPr>
                <w:color w:val="1F2937"/>
                <w:sz w:val="17"/>
              </w:rPr>
              <w:t>Focused hardware counters for kernels selected from Nsight Systems, if needed.</w:t>
            </w:r>
          </w:p>
        </w:tc>
      </w:tr>
    </w:tbl>
    <w:p w14:paraId="4C75D1D4" w14:textId="77777777" w:rsidR="00BF7615" w:rsidRDefault="000D7E1E">
      <w:pPr>
        <w:rPr>
          <w:rFonts w:hint="eastAsia"/>
        </w:rPr>
      </w:pPr>
      <w:r>
        <w:t>No two profilers are run together. Every</w:t>
      </w:r>
      <w:r>
        <w:t xml:space="preserve"> profile capture is a separate physical execution using the same frozen prompt and request controls. Client timestamps remain active in profile runs solely to provide correlation metadata.</w:t>
      </w:r>
    </w:p>
    <w:p w14:paraId="5EFF8662" w14:textId="77777777" w:rsidR="00BF7615" w:rsidRDefault="000D7E1E">
      <w:pPr>
        <w:pStyle w:val="Heading1"/>
      </w:pPr>
      <w:r>
        <w:t>6. Bash orchestration wrappers</w:t>
      </w:r>
    </w:p>
    <w:p w14:paraId="0BD34BAD" w14:textId="77777777" w:rsidR="00BF7615" w:rsidRDefault="000D7E1E">
      <w:pPr>
        <w:rPr>
          <w:rFonts w:hint="eastAsia"/>
        </w:rPr>
      </w:pPr>
      <w:r>
        <w:t xml:space="preserve">Three Bash wrappers were created to </w:t>
      </w:r>
      <w:r>
        <w:t>pair the protocol-coupled client with the appropriate isolated execution mode.</w:t>
      </w:r>
    </w:p>
    <w:p w14:paraId="440AD8CE" w14:textId="77777777" w:rsidR="00BF7615" w:rsidRDefault="000D7E1E">
      <w:pPr>
        <w:pStyle w:val="Heading2"/>
      </w:pPr>
      <w:r>
        <w:t>6.1 run_benchmark.sh</w:t>
      </w:r>
    </w:p>
    <w:p w14:paraId="6F2C3013" w14:textId="77777777" w:rsidR="00BF7615" w:rsidRDefault="000D7E1E">
      <w:pPr>
        <w:pStyle w:val="ListBullet"/>
        <w:rPr>
          <w:rFonts w:hint="eastAsia"/>
        </w:rPr>
      </w:pPr>
      <w:r>
        <w:t>Checks that the expected normal or MTP service is active.</w:t>
      </w:r>
    </w:p>
    <w:p w14:paraId="0D3D2F8F" w14:textId="77777777" w:rsidR="00BF7615" w:rsidRDefault="000D7E1E">
      <w:pPr>
        <w:pStyle w:val="ListBullet"/>
        <w:rPr>
          <w:rFonts w:hint="eastAsia"/>
        </w:rPr>
      </w:pPr>
      <w:r>
        <w:t>Refuses to run when Nsight Systems or Nsight Compute processes are detected.</w:t>
      </w:r>
    </w:p>
    <w:p w14:paraId="7F562EBA" w14:textId="77777777" w:rsidR="00BF7615" w:rsidRDefault="000D7E1E">
      <w:pPr>
        <w:pStyle w:val="ListBullet"/>
        <w:rPr>
          <w:rFonts w:hint="eastAsia"/>
        </w:rPr>
      </w:pPr>
      <w:r>
        <w:t>Invokes the client in</w:t>
      </w:r>
      <w:r>
        <w:t xml:space="preserve"> benchmark mode.</w:t>
      </w:r>
    </w:p>
    <w:p w14:paraId="284B951A" w14:textId="77777777" w:rsidR="00BF7615" w:rsidRDefault="000D7E1E">
      <w:pPr>
        <w:pStyle w:val="ListBullet"/>
        <w:rPr>
          <w:rFonts w:hint="eastAsia"/>
        </w:rPr>
      </w:pPr>
      <w:r>
        <w:t>Creates admissible run artifacts and appends one row to results.csv.</w:t>
      </w:r>
    </w:p>
    <w:p w14:paraId="76A3BFEA" w14:textId="77777777" w:rsidR="00BF7615" w:rsidRDefault="000D7E1E">
      <w:pPr>
        <w:pStyle w:val="Heading2"/>
      </w:pPr>
      <w:r>
        <w:t>6.2 run_nsys_profile.sh</w:t>
      </w:r>
    </w:p>
    <w:p w14:paraId="03065A10" w14:textId="77777777" w:rsidR="00BF7615" w:rsidRDefault="000D7E1E">
      <w:pPr>
        <w:pStyle w:val="ListBullet"/>
        <w:rPr>
          <w:rFonts w:hint="eastAsia"/>
        </w:rPr>
      </w:pPr>
      <w:r>
        <w:t>Checks the controlled service and verifies that a VLLM::EngineCore process exists.</w:t>
      </w:r>
    </w:p>
    <w:p w14:paraId="25B9DA93" w14:textId="77777777" w:rsidR="00BF7615" w:rsidRDefault="000D7E1E">
      <w:pPr>
        <w:pStyle w:val="ListBullet"/>
        <w:rPr>
          <w:rFonts w:hint="eastAsia"/>
        </w:rPr>
      </w:pPr>
      <w:r>
        <w:lastRenderedPageBreak/>
        <w:t>Starts a focused Nsight Systems session with CUDA, NVTX, and OS</w:t>
      </w:r>
      <w:r>
        <w:t>-runtime tracing.</w:t>
      </w:r>
    </w:p>
    <w:p w14:paraId="66030D2C" w14:textId="77777777" w:rsidR="00BF7615" w:rsidRDefault="000D7E1E">
      <w:pPr>
        <w:pStyle w:val="ListBullet"/>
        <w:rPr>
          <w:rFonts w:hint="eastAsia"/>
        </w:rPr>
      </w:pPr>
      <w:r>
        <w:t>Invokes the client in profile mode so semantic phase markers are emitted.</w:t>
      </w:r>
    </w:p>
    <w:p w14:paraId="1E1D44AD" w14:textId="77777777" w:rsidR="00BF7615" w:rsidRDefault="000D7E1E">
      <w:pPr>
        <w:pStyle w:val="ListBullet"/>
        <w:rPr>
          <w:rFonts w:hint="eastAsia"/>
        </w:rPr>
      </w:pPr>
      <w:r>
        <w:t>Stops and finalizes the session after the request.</w:t>
      </w:r>
    </w:p>
    <w:p w14:paraId="63E065B4" w14:textId="77777777" w:rsidR="00BF7615" w:rsidRDefault="000D7E1E">
      <w:pPr>
        <w:pStyle w:val="ListBullet"/>
        <w:rPr>
          <w:rFonts w:hint="eastAsia"/>
        </w:rPr>
      </w:pPr>
      <w:r>
        <w:t>Saves the portable .nsys-rep under a matching logical identity.</w:t>
      </w:r>
    </w:p>
    <w:p w14:paraId="32AAA7D2" w14:textId="77777777" w:rsidR="00BF7615" w:rsidRDefault="000D7E1E">
      <w:pPr>
        <w:pStyle w:val="ListBullet"/>
        <w:rPr>
          <w:rFonts w:hint="eastAsia"/>
        </w:rPr>
      </w:pPr>
      <w:r>
        <w:t xml:space="preserve">Uses a cleanup trap so interrupted runs attempt </w:t>
      </w:r>
      <w:r>
        <w:t>to stop collection cleanly.</w:t>
      </w:r>
    </w:p>
    <w:p w14:paraId="57F4FFAD" w14:textId="77777777" w:rsidR="00BF7615" w:rsidRDefault="000D7E1E">
      <w:pPr>
        <w:pStyle w:val="Heading2"/>
      </w:pPr>
      <w:r>
        <w:t>6.3 run_torch_profile.sh</w:t>
      </w:r>
    </w:p>
    <w:p w14:paraId="6D016843" w14:textId="77777777" w:rsidR="00BF7615" w:rsidRDefault="000D7E1E">
      <w:pPr>
        <w:pStyle w:val="ListBullet"/>
        <w:rPr>
          <w:rFonts w:hint="eastAsia"/>
        </w:rPr>
      </w:pPr>
      <w:r>
        <w:t>Calls the vLLM /start_profile endpoint.</w:t>
      </w:r>
    </w:p>
    <w:p w14:paraId="6A09B910" w14:textId="77777777" w:rsidR="00BF7615" w:rsidRDefault="000D7E1E">
      <w:pPr>
        <w:pStyle w:val="ListBullet"/>
        <w:rPr>
          <w:rFonts w:hint="eastAsia"/>
        </w:rPr>
      </w:pPr>
      <w:r>
        <w:t>Runs one protocol-defined client request.</w:t>
      </w:r>
    </w:p>
    <w:p w14:paraId="120D9C37" w14:textId="77777777" w:rsidR="00BF7615" w:rsidRDefault="000D7E1E">
      <w:pPr>
        <w:pStyle w:val="ListBullet"/>
        <w:rPr>
          <w:rFonts w:hint="eastAsia"/>
        </w:rPr>
      </w:pPr>
      <w:r>
        <w:t>Calls /stop_profile and waits for trace flushing.</w:t>
      </w:r>
    </w:p>
    <w:p w14:paraId="2F2EB80F" w14:textId="77777777" w:rsidR="00BF7615" w:rsidRDefault="000D7E1E">
      <w:pPr>
        <w:pStyle w:val="ListBullet"/>
        <w:rPr>
          <w:rFonts w:hint="eastAsia"/>
        </w:rPr>
      </w:pPr>
      <w:r>
        <w:t>Uses a cleanup trap to avoid leaving profiling active after an interrup</w:t>
      </w:r>
      <w:r>
        <w:t>tion.</w:t>
      </w:r>
    </w:p>
    <w:p w14:paraId="2E57D544" w14:textId="77777777" w:rsidR="00BF7615" w:rsidRDefault="000D7E1E">
      <w:pPr>
        <w:pStyle w:val="ListBullet"/>
        <w:rPr>
          <w:rFonts w:hint="eastAsia"/>
        </w:rPr>
      </w:pPr>
      <w:r>
        <w:t>Keeps client correlation artifacts separate from benchmark results.</w:t>
      </w:r>
    </w:p>
    <w:p w14:paraId="7A9D65EB" w14:textId="77777777" w:rsidR="00BF7615" w:rsidRDefault="000D7E1E">
      <w:pPr>
        <w:rPr>
          <w:rFonts w:hint="eastAsia"/>
        </w:rPr>
      </w:pPr>
      <w:r>
        <w:t>The Torch wrapper is intentionally not yet runnable against the clean prof-* services because those services do not contain --profiler-config. Dedicated Torch-enabled systemd units r</w:t>
      </w:r>
      <w:r>
        <w:t>emain required.</w:t>
      </w:r>
    </w:p>
    <w:p w14:paraId="035BEEDF" w14:textId="77777777" w:rsidR="00BF7615" w:rsidRDefault="000D7E1E">
      <w:pPr>
        <w:pStyle w:val="Heading1"/>
      </w:pPr>
      <w:r>
        <w:t>7. Portable headless-server artifacts</w:t>
      </w:r>
    </w:p>
    <w:p w14:paraId="78E79648" w14:textId="77777777" w:rsidR="00BF7615" w:rsidRDefault="000D7E1E">
      <w:pPr>
        <w:rPr>
          <w:rFonts w:hint="eastAsia"/>
        </w:rPr>
      </w:pPr>
      <w:r>
        <w:t>The headless A10G server will generate portable artifacts for offline analysis in WSL:</w:t>
      </w:r>
    </w:p>
    <w:p w14:paraId="677D4DFA" w14:textId="77777777" w:rsidR="00BF7615" w:rsidRDefault="000D7E1E">
      <w:pPr>
        <w:pStyle w:val="ListBullet"/>
        <w:rPr>
          <w:rFonts w:hint="eastAsia"/>
        </w:rPr>
      </w:pPr>
      <w:r>
        <w:t>Nsight Systems: .nsys-rep files opened with the installed Nsight Systems 2026.4.1 GUI.</w:t>
      </w:r>
    </w:p>
    <w:p w14:paraId="4D25598B" w14:textId="77777777" w:rsidR="00BF7615" w:rsidRDefault="000D7E1E">
      <w:pPr>
        <w:pStyle w:val="ListBullet"/>
        <w:rPr>
          <w:rFonts w:hint="eastAsia"/>
        </w:rPr>
      </w:pPr>
      <w:r>
        <w:t>PyTorch Profiler: Chrome/Per</w:t>
      </w:r>
      <w:r>
        <w:t>fetto-compatible trace files, commonly .trace.json.gz, opened directly with Perfetto-compatible tooling.</w:t>
      </w:r>
    </w:p>
    <w:p w14:paraId="2CE90EA7" w14:textId="77777777" w:rsidR="00BF7615" w:rsidRDefault="000D7E1E">
      <w:pPr>
        <w:pStyle w:val="ListBullet"/>
        <w:rPr>
          <w:rFonts w:hint="eastAsia"/>
        </w:rPr>
      </w:pPr>
      <w:r>
        <w:t>Client: raw.jsonl and summary.json retained beside each logical capture for phase correlation.</w:t>
      </w:r>
    </w:p>
    <w:p w14:paraId="03E3D864" w14:textId="77777777" w:rsidR="00BF7615" w:rsidRDefault="000D7E1E">
      <w:pPr>
        <w:pStyle w:val="ListBullet"/>
        <w:rPr>
          <w:rFonts w:hint="eastAsia"/>
        </w:rPr>
      </w:pPr>
      <w:r>
        <w:t xml:space="preserve">Nsight Compute: .ncu-rep only after an important kernel </w:t>
      </w:r>
      <w:r>
        <w:t>is selected from Nsight Systems.</w:t>
      </w:r>
    </w:p>
    <w:p w14:paraId="56F11EE3" w14:textId="77777777" w:rsidR="00BF7615" w:rsidRDefault="000D7E1E">
      <w:pPr>
        <w:pStyle w:val="CodeBlock"/>
        <w:keepLines/>
        <w:rPr>
          <w:rFonts w:hint="eastAsia"/>
        </w:rPr>
      </w:pPr>
      <w:r>
        <w:t>scp cbotadmin@lclphcbota02:/home/cbotadmin/gpu-profiling-study/profiles/nsys/... .</w:t>
      </w:r>
      <w:r>
        <w:br/>
        <w:t>scp cbotadmin@lclphcbota02:/home/cbotadmin/gpu-profiling-study/profiles/torch/... .</w:t>
      </w:r>
    </w:p>
    <w:p w14:paraId="7B3ACAE5" w14:textId="77777777" w:rsidR="00BF7615" w:rsidRDefault="000D7E1E">
      <w:pPr>
        <w:pStyle w:val="Heading1"/>
      </w:pPr>
      <w:r>
        <w:t>8. Work still required before experiments</w:t>
      </w:r>
    </w:p>
    <w:tbl>
      <w:tblPr>
        <w:tblW w:w="11039" w:type="dxa"/>
        <w:jc w:val="center"/>
        <w:tblLayout w:type="fixed"/>
        <w:tblLook w:val="04A0" w:firstRow="1" w:lastRow="0" w:firstColumn="1" w:lastColumn="0" w:noHBand="0" w:noVBand="1"/>
      </w:tblPr>
      <w:tblGrid>
        <w:gridCol w:w="2933"/>
        <w:gridCol w:w="2933"/>
        <w:gridCol w:w="5173"/>
      </w:tblGrid>
      <w:tr w:rsidR="00BF7615" w14:paraId="04E0D0A2" w14:textId="77777777" w:rsidTr="0028643A">
        <w:trPr>
          <w:trHeight w:val="207"/>
          <w:jc w:val="center"/>
        </w:trPr>
        <w:tc>
          <w:tcPr>
            <w:tcW w:w="2933" w:type="dxa"/>
            <w:shd w:val="clear" w:color="auto" w:fill="17365D"/>
            <w:tcMar>
              <w:top w:w="110" w:type="dxa"/>
              <w:left w:w="110" w:type="dxa"/>
              <w:bottom w:w="110" w:type="dxa"/>
              <w:right w:w="110" w:type="dxa"/>
            </w:tcMar>
            <w:vAlign w:val="center"/>
          </w:tcPr>
          <w:p w14:paraId="1986AAA1" w14:textId="77777777" w:rsidR="00BF7615" w:rsidRDefault="000D7E1E">
            <w:pPr>
              <w:spacing w:after="0"/>
              <w:rPr>
                <w:rFonts w:hint="eastAsia"/>
              </w:rPr>
            </w:pPr>
            <w:r>
              <w:rPr>
                <w:b/>
                <w:color w:val="FFFFFF"/>
                <w:sz w:val="18"/>
              </w:rPr>
              <w:t>Required item</w:t>
            </w:r>
          </w:p>
        </w:tc>
        <w:tc>
          <w:tcPr>
            <w:tcW w:w="2933" w:type="dxa"/>
            <w:shd w:val="clear" w:color="auto" w:fill="17365D"/>
            <w:tcMar>
              <w:top w:w="110" w:type="dxa"/>
              <w:left w:w="110" w:type="dxa"/>
              <w:bottom w:w="110" w:type="dxa"/>
              <w:right w:w="110" w:type="dxa"/>
            </w:tcMar>
            <w:vAlign w:val="center"/>
          </w:tcPr>
          <w:p w14:paraId="5E4CAAA5" w14:textId="77777777" w:rsidR="00BF7615" w:rsidRDefault="000D7E1E">
            <w:pPr>
              <w:spacing w:after="0"/>
              <w:rPr>
                <w:rFonts w:hint="eastAsia"/>
              </w:rPr>
            </w:pPr>
            <w:r>
              <w:rPr>
                <w:b/>
                <w:color w:val="FFFFFF"/>
                <w:sz w:val="18"/>
              </w:rPr>
              <w:t>Status</w:t>
            </w:r>
          </w:p>
        </w:tc>
        <w:tc>
          <w:tcPr>
            <w:tcW w:w="5173" w:type="dxa"/>
            <w:shd w:val="clear" w:color="auto" w:fill="17365D"/>
            <w:tcMar>
              <w:top w:w="110" w:type="dxa"/>
              <w:left w:w="110" w:type="dxa"/>
              <w:bottom w:w="110" w:type="dxa"/>
              <w:right w:w="110" w:type="dxa"/>
            </w:tcMar>
            <w:vAlign w:val="center"/>
          </w:tcPr>
          <w:p w14:paraId="3E3B52B5" w14:textId="77777777" w:rsidR="00BF7615" w:rsidRDefault="000D7E1E">
            <w:pPr>
              <w:spacing w:after="0"/>
              <w:rPr>
                <w:rFonts w:hint="eastAsia"/>
              </w:rPr>
            </w:pPr>
            <w:r>
              <w:rPr>
                <w:b/>
                <w:color w:val="FFFFFF"/>
                <w:sz w:val="18"/>
              </w:rPr>
              <w:t>Completion condition</w:t>
            </w:r>
          </w:p>
        </w:tc>
      </w:tr>
      <w:tr w:rsidR="00BF7615" w14:paraId="0AD88826" w14:textId="77777777" w:rsidTr="0028643A">
        <w:trPr>
          <w:trHeight w:val="376"/>
          <w:jc w:val="center"/>
        </w:trPr>
        <w:tc>
          <w:tcPr>
            <w:tcW w:w="2933" w:type="dxa"/>
            <w:shd w:val="clear" w:color="auto" w:fill="F7F9FC"/>
            <w:tcMar>
              <w:top w:w="110" w:type="dxa"/>
              <w:left w:w="110" w:type="dxa"/>
              <w:bottom w:w="110" w:type="dxa"/>
              <w:right w:w="110" w:type="dxa"/>
            </w:tcMar>
            <w:vAlign w:val="center"/>
          </w:tcPr>
          <w:p w14:paraId="3FB09963" w14:textId="77777777" w:rsidR="00BF7615" w:rsidRDefault="000D7E1E">
            <w:pPr>
              <w:spacing w:after="0"/>
              <w:rPr>
                <w:rFonts w:hint="eastAsia"/>
              </w:rPr>
            </w:pPr>
            <w:r>
              <w:rPr>
                <w:color w:val="1F2937"/>
                <w:sz w:val="17"/>
              </w:rPr>
              <w:t>Parser-validation run</w:t>
            </w:r>
          </w:p>
        </w:tc>
        <w:tc>
          <w:tcPr>
            <w:tcW w:w="2933" w:type="dxa"/>
            <w:shd w:val="clear" w:color="auto" w:fill="F7F9FC"/>
            <w:tcMar>
              <w:top w:w="110" w:type="dxa"/>
              <w:left w:w="110" w:type="dxa"/>
              <w:bottom w:w="110" w:type="dxa"/>
              <w:right w:w="110" w:type="dxa"/>
            </w:tcMar>
            <w:vAlign w:val="center"/>
          </w:tcPr>
          <w:p w14:paraId="74F95031" w14:textId="77777777" w:rsidR="00BF7615" w:rsidRDefault="000D7E1E">
            <w:pPr>
              <w:spacing w:after="0"/>
              <w:rPr>
                <w:rFonts w:hint="eastAsia"/>
              </w:rPr>
            </w:pPr>
            <w:r>
              <w:rPr>
                <w:b/>
                <w:color w:val="B54708"/>
                <w:sz w:val="17"/>
              </w:rPr>
              <w:t>SMOKE TEST</w:t>
            </w:r>
          </w:p>
        </w:tc>
        <w:tc>
          <w:tcPr>
            <w:tcW w:w="5173" w:type="dxa"/>
            <w:shd w:val="clear" w:color="auto" w:fill="F7F9FC"/>
            <w:tcMar>
              <w:top w:w="110" w:type="dxa"/>
              <w:left w:w="110" w:type="dxa"/>
              <w:bottom w:w="110" w:type="dxa"/>
              <w:right w:w="110" w:type="dxa"/>
            </w:tcMar>
            <w:vAlign w:val="center"/>
          </w:tcPr>
          <w:p w14:paraId="1B8650DA" w14:textId="77777777" w:rsidR="00BF7615" w:rsidRDefault="000D7E1E">
            <w:pPr>
              <w:spacing w:after="0"/>
              <w:rPr>
                <w:rFonts w:hint="eastAsia"/>
              </w:rPr>
            </w:pPr>
            <w:r>
              <w:rPr>
                <w:color w:val="1F2937"/>
                <w:sz w:val="17"/>
              </w:rPr>
              <w:t>Reasoning, final-answer, and tool-call streams separate and reconstruct correctly.</w:t>
            </w:r>
          </w:p>
        </w:tc>
      </w:tr>
      <w:tr w:rsidR="00BF7615" w14:paraId="28ABE694" w14:textId="77777777" w:rsidTr="0028643A">
        <w:trPr>
          <w:trHeight w:val="390"/>
          <w:jc w:val="center"/>
        </w:trPr>
        <w:tc>
          <w:tcPr>
            <w:tcW w:w="2933" w:type="dxa"/>
            <w:shd w:val="clear" w:color="auto" w:fill="FFFFFF"/>
            <w:tcMar>
              <w:top w:w="110" w:type="dxa"/>
              <w:left w:w="110" w:type="dxa"/>
              <w:bottom w:w="110" w:type="dxa"/>
              <w:right w:w="110" w:type="dxa"/>
            </w:tcMar>
            <w:vAlign w:val="center"/>
          </w:tcPr>
          <w:p w14:paraId="2FEBE230" w14:textId="77777777" w:rsidR="00BF7615" w:rsidRDefault="000D7E1E">
            <w:pPr>
              <w:spacing w:after="0"/>
              <w:rPr>
                <w:rFonts w:hint="eastAsia"/>
              </w:rPr>
            </w:pPr>
            <w:r>
              <w:rPr>
                <w:color w:val="1F2937"/>
                <w:sz w:val="17"/>
              </w:rPr>
              <w:t>Clean benchmark wrapper test</w:t>
            </w:r>
          </w:p>
        </w:tc>
        <w:tc>
          <w:tcPr>
            <w:tcW w:w="2933" w:type="dxa"/>
            <w:shd w:val="clear" w:color="auto" w:fill="FFFFFF"/>
            <w:tcMar>
              <w:top w:w="110" w:type="dxa"/>
              <w:left w:w="110" w:type="dxa"/>
              <w:bottom w:w="110" w:type="dxa"/>
              <w:right w:w="110" w:type="dxa"/>
            </w:tcMar>
            <w:vAlign w:val="center"/>
          </w:tcPr>
          <w:p w14:paraId="075110C0" w14:textId="77777777" w:rsidR="00BF7615" w:rsidRDefault="000D7E1E">
            <w:pPr>
              <w:spacing w:after="0"/>
              <w:rPr>
                <w:rFonts w:hint="eastAsia"/>
              </w:rPr>
            </w:pPr>
            <w:r>
              <w:rPr>
                <w:b/>
                <w:color w:val="B54708"/>
                <w:sz w:val="17"/>
              </w:rPr>
              <w:t>SMOKE TEST</w:t>
            </w:r>
          </w:p>
        </w:tc>
        <w:tc>
          <w:tcPr>
            <w:tcW w:w="5173" w:type="dxa"/>
            <w:shd w:val="clear" w:color="auto" w:fill="FFFFFF"/>
            <w:tcMar>
              <w:top w:w="110" w:type="dxa"/>
              <w:left w:w="110" w:type="dxa"/>
              <w:bottom w:w="110" w:type="dxa"/>
              <w:right w:w="110" w:type="dxa"/>
            </w:tcMar>
            <w:vAlign w:val="center"/>
          </w:tcPr>
          <w:p w14:paraId="4BFC49E6" w14:textId="77777777" w:rsidR="00BF7615" w:rsidRDefault="000D7E1E">
            <w:pPr>
              <w:spacing w:after="0"/>
              <w:rPr>
                <w:rFonts w:hint="eastAsia"/>
              </w:rPr>
            </w:pPr>
            <w:r>
              <w:rPr>
                <w:color w:val="1F2937"/>
                <w:sz w:val="17"/>
              </w:rPr>
              <w:t>One complete run produces raw.jsonl, summary.json, and a correct resul</w:t>
            </w:r>
            <w:r>
              <w:rPr>
                <w:color w:val="1F2937"/>
                <w:sz w:val="17"/>
              </w:rPr>
              <w:t>ts.csv row.</w:t>
            </w:r>
          </w:p>
        </w:tc>
      </w:tr>
      <w:tr w:rsidR="00BF7615" w14:paraId="06B6B1DD" w14:textId="77777777" w:rsidTr="0028643A">
        <w:trPr>
          <w:trHeight w:val="376"/>
          <w:jc w:val="center"/>
        </w:trPr>
        <w:tc>
          <w:tcPr>
            <w:tcW w:w="2933" w:type="dxa"/>
            <w:shd w:val="clear" w:color="auto" w:fill="F7F9FC"/>
            <w:tcMar>
              <w:top w:w="110" w:type="dxa"/>
              <w:left w:w="110" w:type="dxa"/>
              <w:bottom w:w="110" w:type="dxa"/>
              <w:right w:w="110" w:type="dxa"/>
            </w:tcMar>
            <w:vAlign w:val="center"/>
          </w:tcPr>
          <w:p w14:paraId="65B9966D" w14:textId="77777777" w:rsidR="00BF7615" w:rsidRDefault="000D7E1E">
            <w:pPr>
              <w:spacing w:after="0"/>
              <w:rPr>
                <w:rFonts w:hint="eastAsia"/>
              </w:rPr>
            </w:pPr>
            <w:r>
              <w:rPr>
                <w:color w:val="1F2937"/>
                <w:sz w:val="17"/>
              </w:rPr>
              <w:t>Nsight Systems wrapper test</w:t>
            </w:r>
          </w:p>
        </w:tc>
        <w:tc>
          <w:tcPr>
            <w:tcW w:w="2933" w:type="dxa"/>
            <w:shd w:val="clear" w:color="auto" w:fill="F7F9FC"/>
            <w:tcMar>
              <w:top w:w="110" w:type="dxa"/>
              <w:left w:w="110" w:type="dxa"/>
              <w:bottom w:w="110" w:type="dxa"/>
              <w:right w:w="110" w:type="dxa"/>
            </w:tcMar>
            <w:vAlign w:val="center"/>
          </w:tcPr>
          <w:p w14:paraId="1BCCCB8F" w14:textId="77777777" w:rsidR="00BF7615" w:rsidRDefault="000D7E1E">
            <w:pPr>
              <w:spacing w:after="0"/>
              <w:rPr>
                <w:rFonts w:hint="eastAsia"/>
              </w:rPr>
            </w:pPr>
            <w:r>
              <w:rPr>
                <w:b/>
                <w:color w:val="B54708"/>
                <w:sz w:val="17"/>
              </w:rPr>
              <w:t>SMOKE TEST</w:t>
            </w:r>
          </w:p>
        </w:tc>
        <w:tc>
          <w:tcPr>
            <w:tcW w:w="5173" w:type="dxa"/>
            <w:shd w:val="clear" w:color="auto" w:fill="F7F9FC"/>
            <w:tcMar>
              <w:top w:w="110" w:type="dxa"/>
              <w:left w:w="110" w:type="dxa"/>
              <w:bottom w:w="110" w:type="dxa"/>
              <w:right w:w="110" w:type="dxa"/>
            </w:tcMar>
            <w:vAlign w:val="center"/>
          </w:tcPr>
          <w:p w14:paraId="1AA9FF5F" w14:textId="77777777" w:rsidR="00BF7615" w:rsidRDefault="000D7E1E">
            <w:pPr>
              <w:spacing w:after="0"/>
              <w:rPr>
                <w:rFonts w:hint="eastAsia"/>
              </w:rPr>
            </w:pPr>
            <w:r>
              <w:rPr>
                <w:color w:val="1F2937"/>
                <w:sz w:val="17"/>
              </w:rPr>
              <w:t>One report contains client NVTX markers and EngineCore CUDA activity on one time axis.</w:t>
            </w:r>
          </w:p>
        </w:tc>
      </w:tr>
      <w:tr w:rsidR="00BF7615" w14:paraId="5180B646" w14:textId="77777777" w:rsidTr="0028643A">
        <w:trPr>
          <w:trHeight w:val="376"/>
          <w:jc w:val="center"/>
        </w:trPr>
        <w:tc>
          <w:tcPr>
            <w:tcW w:w="2933" w:type="dxa"/>
            <w:shd w:val="clear" w:color="auto" w:fill="FFFFFF"/>
            <w:tcMar>
              <w:top w:w="110" w:type="dxa"/>
              <w:left w:w="110" w:type="dxa"/>
              <w:bottom w:w="110" w:type="dxa"/>
              <w:right w:w="110" w:type="dxa"/>
            </w:tcMar>
            <w:vAlign w:val="center"/>
          </w:tcPr>
          <w:p w14:paraId="29D2104D" w14:textId="77777777" w:rsidR="00BF7615" w:rsidRDefault="000D7E1E">
            <w:pPr>
              <w:spacing w:after="0"/>
              <w:rPr>
                <w:rFonts w:hint="eastAsia"/>
              </w:rPr>
            </w:pPr>
            <w:r>
              <w:rPr>
                <w:color w:val="1F2937"/>
                <w:sz w:val="17"/>
              </w:rPr>
              <w:t>Phase-attribution inspection</w:t>
            </w:r>
          </w:p>
        </w:tc>
        <w:tc>
          <w:tcPr>
            <w:tcW w:w="2933" w:type="dxa"/>
            <w:shd w:val="clear" w:color="auto" w:fill="FFFFFF"/>
            <w:tcMar>
              <w:top w:w="110" w:type="dxa"/>
              <w:left w:w="110" w:type="dxa"/>
              <w:bottom w:w="110" w:type="dxa"/>
              <w:right w:w="110" w:type="dxa"/>
            </w:tcMar>
            <w:vAlign w:val="center"/>
          </w:tcPr>
          <w:p w14:paraId="7AC82978" w14:textId="77777777" w:rsidR="00BF7615" w:rsidRDefault="000D7E1E">
            <w:pPr>
              <w:spacing w:after="0"/>
              <w:rPr>
                <w:rFonts w:hint="eastAsia"/>
              </w:rPr>
            </w:pPr>
            <w:r>
              <w:rPr>
                <w:b/>
                <w:color w:val="B54708"/>
                <w:sz w:val="17"/>
              </w:rPr>
              <w:t>SMOKE TEST</w:t>
            </w:r>
          </w:p>
        </w:tc>
        <w:tc>
          <w:tcPr>
            <w:tcW w:w="5173" w:type="dxa"/>
            <w:shd w:val="clear" w:color="auto" w:fill="FFFFFF"/>
            <w:tcMar>
              <w:top w:w="110" w:type="dxa"/>
              <w:left w:w="110" w:type="dxa"/>
              <w:bottom w:w="110" w:type="dxa"/>
              <w:right w:w="110" w:type="dxa"/>
            </w:tcMar>
            <w:vAlign w:val="center"/>
          </w:tcPr>
          <w:p w14:paraId="6BEBD614" w14:textId="77777777" w:rsidR="00BF7615" w:rsidRDefault="000D7E1E">
            <w:pPr>
              <w:spacing w:after="0"/>
              <w:rPr>
                <w:rFonts w:hint="eastAsia"/>
              </w:rPr>
            </w:pPr>
            <w:r>
              <w:rPr>
                <w:color w:val="1F2937"/>
                <w:sz w:val="17"/>
              </w:rPr>
              <w:t xml:space="preserve">FIRST_REASONING and FIRST_FINAL/TOOL divide a request into interpretable </w:t>
            </w:r>
            <w:r>
              <w:rPr>
                <w:color w:val="1F2937"/>
                <w:sz w:val="17"/>
              </w:rPr>
              <w:t>execution regions.</w:t>
            </w:r>
          </w:p>
        </w:tc>
      </w:tr>
      <w:tr w:rsidR="00BF7615" w14:paraId="28A5D273" w14:textId="77777777" w:rsidTr="0028643A">
        <w:trPr>
          <w:trHeight w:val="195"/>
          <w:jc w:val="center"/>
        </w:trPr>
        <w:tc>
          <w:tcPr>
            <w:tcW w:w="2933" w:type="dxa"/>
            <w:shd w:val="clear" w:color="auto" w:fill="F7F9FC"/>
            <w:tcMar>
              <w:top w:w="110" w:type="dxa"/>
              <w:left w:w="110" w:type="dxa"/>
              <w:bottom w:w="110" w:type="dxa"/>
              <w:right w:w="110" w:type="dxa"/>
            </w:tcMar>
            <w:vAlign w:val="center"/>
          </w:tcPr>
          <w:p w14:paraId="51DD82C1" w14:textId="77777777" w:rsidR="00BF7615" w:rsidRDefault="000D7E1E">
            <w:pPr>
              <w:spacing w:after="0"/>
              <w:rPr>
                <w:rFonts w:hint="eastAsia"/>
              </w:rPr>
            </w:pPr>
            <w:r>
              <w:rPr>
                <w:color w:val="1F2937"/>
                <w:sz w:val="17"/>
              </w:rPr>
              <w:t>Torch normal service</w:t>
            </w:r>
          </w:p>
        </w:tc>
        <w:tc>
          <w:tcPr>
            <w:tcW w:w="2933" w:type="dxa"/>
            <w:shd w:val="clear" w:color="auto" w:fill="F7F9FC"/>
            <w:tcMar>
              <w:top w:w="110" w:type="dxa"/>
              <w:left w:w="110" w:type="dxa"/>
              <w:bottom w:w="110" w:type="dxa"/>
              <w:right w:w="110" w:type="dxa"/>
            </w:tcMar>
            <w:vAlign w:val="center"/>
          </w:tcPr>
          <w:p w14:paraId="39EE1276" w14:textId="77777777" w:rsidR="00BF7615" w:rsidRDefault="000D7E1E">
            <w:pPr>
              <w:spacing w:after="0"/>
              <w:rPr>
                <w:rFonts w:hint="eastAsia"/>
              </w:rPr>
            </w:pPr>
            <w:r>
              <w:rPr>
                <w:b/>
                <w:color w:val="B54708"/>
                <w:sz w:val="17"/>
              </w:rPr>
              <w:t>PENDING</w:t>
            </w:r>
          </w:p>
        </w:tc>
        <w:tc>
          <w:tcPr>
            <w:tcW w:w="5173" w:type="dxa"/>
            <w:shd w:val="clear" w:color="auto" w:fill="F7F9FC"/>
            <w:tcMar>
              <w:top w:w="110" w:type="dxa"/>
              <w:left w:w="110" w:type="dxa"/>
              <w:bottom w:w="110" w:type="dxa"/>
              <w:right w:w="110" w:type="dxa"/>
            </w:tcMar>
            <w:vAlign w:val="center"/>
          </w:tcPr>
          <w:p w14:paraId="7D47055E" w14:textId="77777777" w:rsidR="00BF7615" w:rsidRDefault="000D7E1E">
            <w:pPr>
              <w:spacing w:after="0"/>
              <w:rPr>
                <w:rFonts w:hint="eastAsia"/>
              </w:rPr>
            </w:pPr>
            <w:r>
              <w:rPr>
                <w:color w:val="1F2937"/>
                <w:sz w:val="17"/>
              </w:rPr>
              <w:t>Dedicated service matches clean normal unit plus --profiler-config.</w:t>
            </w:r>
          </w:p>
        </w:tc>
      </w:tr>
      <w:tr w:rsidR="00BF7615" w14:paraId="5ED66D0A" w14:textId="77777777" w:rsidTr="0028643A">
        <w:trPr>
          <w:trHeight w:val="195"/>
          <w:jc w:val="center"/>
        </w:trPr>
        <w:tc>
          <w:tcPr>
            <w:tcW w:w="2933" w:type="dxa"/>
            <w:shd w:val="clear" w:color="auto" w:fill="FFFFFF"/>
            <w:tcMar>
              <w:top w:w="110" w:type="dxa"/>
              <w:left w:w="110" w:type="dxa"/>
              <w:bottom w:w="110" w:type="dxa"/>
              <w:right w:w="110" w:type="dxa"/>
            </w:tcMar>
            <w:vAlign w:val="center"/>
          </w:tcPr>
          <w:p w14:paraId="7C873D72" w14:textId="77777777" w:rsidR="00BF7615" w:rsidRDefault="000D7E1E">
            <w:pPr>
              <w:spacing w:after="0"/>
              <w:rPr>
                <w:rFonts w:hint="eastAsia"/>
              </w:rPr>
            </w:pPr>
            <w:r>
              <w:rPr>
                <w:color w:val="1F2937"/>
                <w:sz w:val="17"/>
              </w:rPr>
              <w:t>Torch MTP service</w:t>
            </w:r>
          </w:p>
        </w:tc>
        <w:tc>
          <w:tcPr>
            <w:tcW w:w="2933" w:type="dxa"/>
            <w:shd w:val="clear" w:color="auto" w:fill="FFFFFF"/>
            <w:tcMar>
              <w:top w:w="110" w:type="dxa"/>
              <w:left w:w="110" w:type="dxa"/>
              <w:bottom w:w="110" w:type="dxa"/>
              <w:right w:w="110" w:type="dxa"/>
            </w:tcMar>
            <w:vAlign w:val="center"/>
          </w:tcPr>
          <w:p w14:paraId="6B4D3D0A" w14:textId="77777777" w:rsidR="00BF7615" w:rsidRDefault="000D7E1E">
            <w:pPr>
              <w:spacing w:after="0"/>
              <w:rPr>
                <w:rFonts w:hint="eastAsia"/>
              </w:rPr>
            </w:pPr>
            <w:r>
              <w:rPr>
                <w:b/>
                <w:color w:val="B54708"/>
                <w:sz w:val="17"/>
              </w:rPr>
              <w:t>PENDING</w:t>
            </w:r>
          </w:p>
        </w:tc>
        <w:tc>
          <w:tcPr>
            <w:tcW w:w="5173" w:type="dxa"/>
            <w:shd w:val="clear" w:color="auto" w:fill="FFFFFF"/>
            <w:tcMar>
              <w:top w:w="110" w:type="dxa"/>
              <w:left w:w="110" w:type="dxa"/>
              <w:bottom w:w="110" w:type="dxa"/>
              <w:right w:w="110" w:type="dxa"/>
            </w:tcMar>
            <w:vAlign w:val="center"/>
          </w:tcPr>
          <w:p w14:paraId="0D2BA7F0" w14:textId="77777777" w:rsidR="00BF7615" w:rsidRDefault="000D7E1E">
            <w:pPr>
              <w:spacing w:after="0"/>
              <w:rPr>
                <w:rFonts w:hint="eastAsia"/>
              </w:rPr>
            </w:pPr>
            <w:r>
              <w:rPr>
                <w:color w:val="1F2937"/>
                <w:sz w:val="17"/>
              </w:rPr>
              <w:t>Dedicated service matches clean MTP unit plus --profiler-config.</w:t>
            </w:r>
          </w:p>
        </w:tc>
      </w:tr>
      <w:tr w:rsidR="00BF7615" w14:paraId="580E1F9D" w14:textId="77777777" w:rsidTr="0028643A">
        <w:trPr>
          <w:trHeight w:val="195"/>
          <w:jc w:val="center"/>
        </w:trPr>
        <w:tc>
          <w:tcPr>
            <w:tcW w:w="2933" w:type="dxa"/>
            <w:shd w:val="clear" w:color="auto" w:fill="F7F9FC"/>
            <w:tcMar>
              <w:top w:w="110" w:type="dxa"/>
              <w:left w:w="110" w:type="dxa"/>
              <w:bottom w:w="110" w:type="dxa"/>
              <w:right w:w="110" w:type="dxa"/>
            </w:tcMar>
            <w:vAlign w:val="center"/>
          </w:tcPr>
          <w:p w14:paraId="63220414" w14:textId="77777777" w:rsidR="00BF7615" w:rsidRDefault="000D7E1E">
            <w:pPr>
              <w:spacing w:after="0"/>
              <w:rPr>
                <w:rFonts w:hint="eastAsia"/>
              </w:rPr>
            </w:pPr>
            <w:r>
              <w:rPr>
                <w:color w:val="1F2937"/>
                <w:sz w:val="17"/>
              </w:rPr>
              <w:t>PyTorch portable trace test</w:t>
            </w:r>
          </w:p>
        </w:tc>
        <w:tc>
          <w:tcPr>
            <w:tcW w:w="2933" w:type="dxa"/>
            <w:shd w:val="clear" w:color="auto" w:fill="F7F9FC"/>
            <w:tcMar>
              <w:top w:w="110" w:type="dxa"/>
              <w:left w:w="110" w:type="dxa"/>
              <w:bottom w:w="110" w:type="dxa"/>
              <w:right w:w="110" w:type="dxa"/>
            </w:tcMar>
            <w:vAlign w:val="center"/>
          </w:tcPr>
          <w:p w14:paraId="2B035F3D" w14:textId="77777777" w:rsidR="00BF7615" w:rsidRDefault="000D7E1E">
            <w:pPr>
              <w:spacing w:after="0"/>
              <w:rPr>
                <w:rFonts w:hint="eastAsia"/>
              </w:rPr>
            </w:pPr>
            <w:r>
              <w:rPr>
                <w:b/>
                <w:color w:val="B54708"/>
                <w:sz w:val="17"/>
              </w:rPr>
              <w:t>SMOKE TEST</w:t>
            </w:r>
          </w:p>
        </w:tc>
        <w:tc>
          <w:tcPr>
            <w:tcW w:w="5173" w:type="dxa"/>
            <w:shd w:val="clear" w:color="auto" w:fill="F7F9FC"/>
            <w:tcMar>
              <w:top w:w="110" w:type="dxa"/>
              <w:left w:w="110" w:type="dxa"/>
              <w:bottom w:w="110" w:type="dxa"/>
              <w:right w:w="110" w:type="dxa"/>
            </w:tcMar>
            <w:vAlign w:val="center"/>
          </w:tcPr>
          <w:p w14:paraId="3B69772F" w14:textId="77777777" w:rsidR="00BF7615" w:rsidRDefault="000D7E1E">
            <w:pPr>
              <w:spacing w:after="0"/>
              <w:rPr>
                <w:rFonts w:hint="eastAsia"/>
              </w:rPr>
            </w:pPr>
            <w:r>
              <w:rPr>
                <w:color w:val="1F2937"/>
                <w:sz w:val="17"/>
              </w:rPr>
              <w:t>Start/profile/stop succeeds and trace opens after SCP transfer.</w:t>
            </w:r>
          </w:p>
        </w:tc>
      </w:tr>
      <w:tr w:rsidR="00BF7615" w14:paraId="7A702542" w14:textId="77777777" w:rsidTr="0028643A">
        <w:trPr>
          <w:trHeight w:val="195"/>
          <w:jc w:val="center"/>
        </w:trPr>
        <w:tc>
          <w:tcPr>
            <w:tcW w:w="2933" w:type="dxa"/>
            <w:shd w:val="clear" w:color="auto" w:fill="FFFFFF"/>
            <w:tcMar>
              <w:top w:w="110" w:type="dxa"/>
              <w:left w:w="110" w:type="dxa"/>
              <w:bottom w:w="110" w:type="dxa"/>
              <w:right w:w="110" w:type="dxa"/>
            </w:tcMar>
            <w:vAlign w:val="center"/>
          </w:tcPr>
          <w:p w14:paraId="30DFA633" w14:textId="77777777" w:rsidR="00BF7615" w:rsidRDefault="000D7E1E">
            <w:pPr>
              <w:spacing w:after="0"/>
              <w:rPr>
                <w:rFonts w:hint="eastAsia"/>
              </w:rPr>
            </w:pPr>
            <w:r>
              <w:rPr>
                <w:color w:val="1F2937"/>
                <w:sz w:val="17"/>
              </w:rPr>
              <w:t>Nsight Compute wrapper</w:t>
            </w:r>
          </w:p>
        </w:tc>
        <w:tc>
          <w:tcPr>
            <w:tcW w:w="2933" w:type="dxa"/>
            <w:shd w:val="clear" w:color="auto" w:fill="FFFFFF"/>
            <w:tcMar>
              <w:top w:w="110" w:type="dxa"/>
              <w:left w:w="110" w:type="dxa"/>
              <w:bottom w:w="110" w:type="dxa"/>
              <w:right w:w="110" w:type="dxa"/>
            </w:tcMar>
            <w:vAlign w:val="center"/>
          </w:tcPr>
          <w:p w14:paraId="0EF7B60B" w14:textId="77777777" w:rsidR="00BF7615" w:rsidRDefault="000D7E1E">
            <w:pPr>
              <w:spacing w:after="0"/>
              <w:rPr>
                <w:rFonts w:hint="eastAsia"/>
              </w:rPr>
            </w:pPr>
            <w:r>
              <w:rPr>
                <w:b/>
                <w:color w:val="B54708"/>
                <w:sz w:val="17"/>
              </w:rPr>
              <w:t>DEFERRED</w:t>
            </w:r>
          </w:p>
        </w:tc>
        <w:tc>
          <w:tcPr>
            <w:tcW w:w="5173" w:type="dxa"/>
            <w:shd w:val="clear" w:color="auto" w:fill="FFFFFF"/>
            <w:tcMar>
              <w:top w:w="110" w:type="dxa"/>
              <w:left w:w="110" w:type="dxa"/>
              <w:bottom w:w="110" w:type="dxa"/>
              <w:right w:w="110" w:type="dxa"/>
            </w:tcMar>
            <w:vAlign w:val="center"/>
          </w:tcPr>
          <w:p w14:paraId="500F6A5C" w14:textId="77777777" w:rsidR="00BF7615" w:rsidRDefault="000D7E1E">
            <w:pPr>
              <w:spacing w:after="0"/>
              <w:rPr>
                <w:rFonts w:hint="eastAsia"/>
              </w:rPr>
            </w:pPr>
            <w:r>
              <w:rPr>
                <w:color w:val="1F2937"/>
                <w:sz w:val="17"/>
              </w:rPr>
              <w:t>Create only if Nsys identifies a kernel requiring deeper hardware analysis.</w:t>
            </w:r>
          </w:p>
        </w:tc>
      </w:tr>
    </w:tbl>
    <w:p w14:paraId="3B524D03" w14:textId="77777777" w:rsidR="00BF7615" w:rsidRDefault="000D7E1E">
      <w:pPr>
        <w:pStyle w:val="Heading1"/>
      </w:pPr>
      <w:r>
        <w:t>9. Smoke-test mini-checkpoint plan</w:t>
      </w:r>
    </w:p>
    <w:p w14:paraId="5F6145A1" w14:textId="77777777" w:rsidR="00BF7615" w:rsidRDefault="000D7E1E">
      <w:pPr>
        <w:rPr>
          <w:rFonts w:hint="eastAsia"/>
        </w:rPr>
      </w:pPr>
      <w:r>
        <w:t xml:space="preserve">The next activity is a bounded smoke test, not </w:t>
      </w:r>
      <w:r>
        <w:t>a pilot benchmark. The smoke test validates the measurement plumbing and produces only engineering evidence.</w:t>
      </w:r>
    </w:p>
    <w:p w14:paraId="31B90DA7" w14:textId="77777777" w:rsidR="00BF7615" w:rsidRDefault="000D7E1E">
      <w:pPr>
        <w:pStyle w:val="ListNumber"/>
        <w:rPr>
          <w:rFonts w:hint="eastAsia"/>
        </w:rPr>
      </w:pPr>
      <w:r>
        <w:t>Run parser validation for one plain-text prompt, one reasoning prompt, and one tool-call prompt.</w:t>
      </w:r>
    </w:p>
    <w:p w14:paraId="234D832E" w14:textId="77777777" w:rsidR="00BF7615" w:rsidRDefault="000D7E1E">
      <w:pPr>
        <w:pStyle w:val="ListNumber"/>
        <w:rPr>
          <w:rFonts w:hint="eastAsia"/>
        </w:rPr>
      </w:pPr>
      <w:r>
        <w:lastRenderedPageBreak/>
        <w:t>Confirm all raw chunks, phase transitions, outputs</w:t>
      </w:r>
      <w:r>
        <w:t>, usage data, timestamps, and validity flags.</w:t>
      </w:r>
    </w:p>
    <w:p w14:paraId="6FAE486F" w14:textId="77777777" w:rsidR="00BF7615" w:rsidRDefault="000D7E1E">
      <w:pPr>
        <w:pStyle w:val="ListNumber"/>
        <w:rPr>
          <w:rFonts w:hint="eastAsia"/>
        </w:rPr>
      </w:pPr>
      <w:r>
        <w:t>Run one clean benchmark wrapper invocation and confirm results.csv behavior.</w:t>
      </w:r>
    </w:p>
    <w:p w14:paraId="0C1DCA88" w14:textId="77777777" w:rsidR="00BF7615" w:rsidRDefault="000D7E1E">
      <w:pPr>
        <w:pStyle w:val="ListNumber"/>
        <w:rPr>
          <w:rFonts w:hint="eastAsia"/>
        </w:rPr>
      </w:pPr>
      <w:r>
        <w:t>Run one short Nsight Systems capture and verify client NVTX plus vLLM EngineCore CUDA activity.</w:t>
      </w:r>
    </w:p>
    <w:p w14:paraId="6DEF6ECA" w14:textId="77777777" w:rsidR="00BF7615" w:rsidRDefault="000D7E1E">
      <w:pPr>
        <w:pStyle w:val="ListNumber"/>
        <w:rPr>
          <w:rFonts w:hint="eastAsia"/>
        </w:rPr>
      </w:pPr>
      <w:r>
        <w:t>Inspect whether broad reasoning and f</w:t>
      </w:r>
      <w:r>
        <w:t>inal/tool phase intervals are unambiguous.</w:t>
      </w:r>
    </w:p>
    <w:p w14:paraId="157A1BBE" w14:textId="77777777" w:rsidR="00BF7615" w:rsidRDefault="000D7E1E">
      <w:pPr>
        <w:pStyle w:val="ListNumber"/>
        <w:rPr>
          <w:rFonts w:hint="eastAsia"/>
        </w:rPr>
      </w:pPr>
      <w:r>
        <w:t>Create dedicated Torch-enabled services without modifying the clean prof-* units.</w:t>
      </w:r>
    </w:p>
    <w:p w14:paraId="08871248" w14:textId="77777777" w:rsidR="00BF7615" w:rsidRDefault="000D7E1E">
      <w:pPr>
        <w:pStyle w:val="ListNumber"/>
        <w:rPr>
          <w:rFonts w:hint="eastAsia"/>
        </w:rPr>
      </w:pPr>
      <w:r>
        <w:t>Run one PyTorch Profiler capture, wait for flush, transfer the trace, and open it successfully.</w:t>
      </w:r>
    </w:p>
    <w:p w14:paraId="40D507DB" w14:textId="77777777" w:rsidR="00BF7615" w:rsidRDefault="000D7E1E">
      <w:pPr>
        <w:pStyle w:val="ListNumber"/>
        <w:rPr>
          <w:rFonts w:hint="eastAsia"/>
        </w:rPr>
      </w:pPr>
      <w:r>
        <w:t xml:space="preserve">Record every smoke-test defect and </w:t>
      </w:r>
      <w:r>
        <w:t>make any necessary protocol or client correction before experimental admission.</w:t>
      </w:r>
    </w:p>
    <w:p w14:paraId="479B4323" w14:textId="77777777" w:rsidR="00BF7615" w:rsidRDefault="000D7E1E">
      <w:pPr>
        <w:pStyle w:val="Heading1"/>
      </w:pPr>
      <w:r>
        <w:t>10. Experiment admission gate</w:t>
      </w:r>
    </w:p>
    <w:p w14:paraId="2A6B62BE" w14:textId="77777777" w:rsidR="00BF7615" w:rsidRDefault="000D7E1E">
      <w:pPr>
        <w:rPr>
          <w:rFonts w:hint="eastAsia"/>
        </w:rPr>
      </w:pPr>
      <w:r>
        <w:t>The protocol does not permit pilot or primary measurements until all mandatory smoke-test criteria pass. Smoke-test outputs will be used only to f</w:t>
      </w:r>
      <w:r>
        <w:t>inalize tooling and confirm interpretability. If any methodological control changes, the protocol version and checksum must be updated before data collection.</w:t>
      </w:r>
    </w:p>
    <w:p w14:paraId="74B7E25F" w14:textId="77777777" w:rsidR="00BF7615" w:rsidRDefault="000D7E1E">
      <w:pPr>
        <w:pStyle w:val="CodeBlock"/>
        <w:keepLines/>
        <w:rPr>
          <w:rFonts w:hint="eastAsia"/>
        </w:rPr>
      </w:pPr>
      <w:r>
        <w:t>Smoke test passes</w:t>
      </w:r>
      <w:r>
        <w:br/>
        <w:t xml:space="preserve">  -&gt; freeze corrected client and wrappers</w:t>
      </w:r>
      <w:r>
        <w:br/>
        <w:t xml:space="preserve">  -&gt; create smoke-test mini-checkpoin</w:t>
      </w:r>
      <w:r>
        <w:t>t</w:t>
      </w:r>
      <w:r>
        <w:br/>
        <w:t xml:space="preserve">  -&gt; begin pilot experiment</w:t>
      </w:r>
      <w:r>
        <w:br/>
      </w:r>
      <w:r>
        <w:br/>
        <w:t>Smoke test fails</w:t>
      </w:r>
      <w:r>
        <w:br/>
        <w:t xml:space="preserve">  -&gt; correct tooling or protocol</w:t>
      </w:r>
      <w:r>
        <w:br/>
        <w:t xml:space="preserve">  -&gt; repeat smoke test</w:t>
      </w:r>
      <w:r>
        <w:br/>
        <w:t xml:space="preserve">  -&gt; do not admit measurements</w:t>
      </w:r>
    </w:p>
    <w:p w14:paraId="4D743E10" w14:textId="77777777" w:rsidR="00BF7615" w:rsidRDefault="000D7E1E">
      <w:pPr>
        <w:pStyle w:val="Heading1"/>
      </w:pPr>
      <w:r>
        <w:t>11. Checkpoint conclusion</w:t>
      </w:r>
    </w:p>
    <w:p w14:paraId="7F7DC6D9" w14:textId="77777777" w:rsidR="00BF7615" w:rsidRDefault="000D7E1E">
      <w:pPr>
        <w:rPr>
          <w:rFonts w:hint="eastAsia"/>
        </w:rPr>
      </w:pPr>
      <w:r>
        <w:t xml:space="preserve">Checkpoint 02 establishes a complete pre-experiment design: a frozen and checksummed protocol, </w:t>
      </w:r>
      <w:r>
        <w:t>strict shared workloads, a streaming client with monotonic phase timing, NVTX-based semantic correlation, isolated profiler roles, portable artifact paths, and orchestration wrappers. Nsight Systems is the primary profiler for the paper; PyTorch Profiler s</w:t>
      </w:r>
      <w:r>
        <w:t>upplies a higher-level supporting view; Nsight Compute remains parked. The immediate next milestone is a smoke-test mini-checkpoint proving that the entire chain works on the actual A10G deployment before any pilot or final co</w:t>
      </w:r>
      <w:bookmarkStart w:id="0" w:name="_GoBack"/>
      <w:bookmarkEnd w:id="0"/>
      <w:r>
        <w:t>mparison begins.</w:t>
      </w:r>
    </w:p>
    <w:sectPr w:rsidR="00BF7615" w:rsidSect="00034616">
      <w:headerReference w:type="default" r:id="rId8"/>
      <w:footerReference w:type="default" r:id="rId9"/>
      <w:pgSz w:w="12240" w:h="15840"/>
      <w:pgMar w:top="936" w:right="1037" w:bottom="936" w:left="1037"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0163AB" w14:textId="77777777" w:rsidR="00000000" w:rsidRDefault="000D7E1E">
      <w:pPr>
        <w:spacing w:after="0" w:line="240" w:lineRule="auto"/>
        <w:rPr>
          <w:rFonts w:hint="eastAsia"/>
        </w:rPr>
      </w:pPr>
      <w:r>
        <w:separator/>
      </w:r>
    </w:p>
  </w:endnote>
  <w:endnote w:type="continuationSeparator" w:id="0">
    <w:p w14:paraId="36803E66" w14:textId="77777777" w:rsidR="00000000" w:rsidRDefault="000D7E1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5ED727" w14:textId="4313F687" w:rsidR="00BF7615" w:rsidRDefault="000D7E1E">
    <w:pPr>
      <w:pStyle w:val="Footer"/>
      <w:jc w:val="right"/>
      <w:rPr>
        <w:rFonts w:hint="eastAsia"/>
      </w:rPr>
    </w:pPr>
    <w:r>
      <w:fldChar w:fldCharType="begin"/>
    </w:r>
    <w:r>
      <w:instrText>PAGE</w:instrText>
    </w:r>
    <w:r>
      <w:rPr>
        <w:rFonts w:hint="eastAsia"/>
      </w:rPr>
      <w:fldChar w:fldCharType="separate"/>
    </w:r>
    <w:r w:rsidR="00703378">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716386" w14:textId="77777777" w:rsidR="00000000" w:rsidRDefault="000D7E1E">
      <w:pPr>
        <w:spacing w:after="0" w:line="240" w:lineRule="auto"/>
        <w:rPr>
          <w:rFonts w:hint="eastAsia"/>
        </w:rPr>
      </w:pPr>
      <w:r>
        <w:separator/>
      </w:r>
    </w:p>
  </w:footnote>
  <w:footnote w:type="continuationSeparator" w:id="0">
    <w:p w14:paraId="5A2C20BF" w14:textId="77777777" w:rsidR="00000000" w:rsidRDefault="000D7E1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E2394A" w14:textId="77777777" w:rsidR="00BF7615" w:rsidRDefault="000D7E1E">
    <w:pPr>
      <w:pStyle w:val="Header"/>
      <w:rPr>
        <w:rFonts w:hint="eastAsia"/>
      </w:rPr>
    </w:pPr>
    <w:r>
      <w:rPr>
        <w:color w:val="667085"/>
        <w:sz w:val="16"/>
      </w:rPr>
      <w:t>GPU Profiling Study  |  Checkpoint 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lassification" w:val="Confidential"/>
    <w:docVar w:name="ClassificationTagSetId" w:val="e16409a7-1700-4153-9090-3955bc2f0ae8"/>
    <w:docVar w:name="ComplianceTagSetId" w:val="f14fc1f1-8950-40d5-8a29-45909da947d6"/>
    <w:docVar w:name="FileId" w:val="fb6ec92d-a82f-434c-a4a3-a9244b7bb628"/>
    <w:docVar w:name="GVData" w:val="eyJPUyI6IldpbmRvd3MiLCJkb2NJRCI6ImZiNmVjOTJkLWE4MmYtNDM0Yy1hNGEzLWE5MjQ0YjdiYjYyOCIsImRvY1N0YXRlIjoie30iLCJwYXJlbnRMaW5lSWRzIjoiW10iLCJ3cml0dGVuS2V5cyI6IltcIkNsYXNzaWZpY2F0aW9uXCIsXCJDbGFzc2lmaWNhdGlv"/>
    <w:docVar w:name="GVData0" w:val="blRhZ1NldElkXCIsXCJDb21wbGlhbmNlVGFnU2V0SWRcIixcIkZpbGVJZFwiLFwiZ3Zkb2NpZFwiLFwiVGFnRGF0ZVRpbWVcIixcIlVzZXJJZFwiXSIsIm5vT2ZHdkRhdGFFbnRyaWVzIjoiMyIsInRhZ3NldF9lMTY0MDlhN18xNzAwXzQxNTNfOTA5MF8zOTU1YmMy"/>
    <w:docVar w:name="GVData1" w:val="ZjBhZThfY2xhc3NpZmljYXRpb24iOiJDb25maWRlbnRpYWwiLCJ0YWdzZXRfMDA0ZGVhMzNfODc1MV80Mzk5X2E3NmVfOTVmMzcxY2I0MTE5X2Rpc3RyaWJ1dGlvbiI6IkludGVybmFsIn0="/>
    <w:docVar w:name="GVData2" w:val="(end)"/>
    <w:docVar w:name="gvdocid" w:val="fb6ec92d-a82f-434c-a4a3-a9244b7bb628"/>
    <w:docVar w:name="TagDateTime" w:val="2026-09-07T08:45:34Z"/>
    <w:docVar w:name="UserId" w:val="Suwesh Sah"/>
  </w:docVars>
  <w:rsids>
    <w:rsidRoot w:val="00B47730"/>
    <w:rsid w:val="00034616"/>
    <w:rsid w:val="0006063C"/>
    <w:rsid w:val="000D7E1E"/>
    <w:rsid w:val="0015074B"/>
    <w:rsid w:val="0028643A"/>
    <w:rsid w:val="0029639D"/>
    <w:rsid w:val="00326F90"/>
    <w:rsid w:val="00703378"/>
    <w:rsid w:val="00AA1D8D"/>
    <w:rsid w:val="00B47730"/>
    <w:rsid w:val="00BF761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94FE017B-8803-4B0A-979D-E1E68E008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pPr>
    <w:rPr>
      <w:rFonts w:asciiTheme="majorHAnsi" w:eastAsiaTheme="majorEastAsia" w:hAnsiTheme="majorHAnsi" w:cstheme="majorBidi"/>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2F4F7"/>
      <w:spacing w:before="60" w:after="120" w:line="240" w:lineRule="auto"/>
      <w:ind w:left="288" w:right="144"/>
    </w:pPr>
    <w:rPr>
      <w:rFonts w:ascii="Liberation Mono" w:hAnsi="Liberation Mono"/>
      <w:color w:val="1F2937"/>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26215E-A642-418A-BBB3-4AE8A085F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1751</Words>
  <Characters>11755</Characters>
  <Application>Microsoft Office Word</Application>
  <DocSecurity>0</DocSecurity>
  <Lines>279</Lines>
  <Paragraphs>204</Paragraphs>
  <ScaleCrop>false</ScaleCrop>
  <HeadingPairs>
    <vt:vector size="2" baseType="variant">
      <vt:variant>
        <vt:lpstr>Title</vt:lpstr>
      </vt:variant>
      <vt:variant>
        <vt:i4>1</vt:i4>
      </vt:variant>
    </vt:vector>
  </HeadingPairs>
  <TitlesOfParts>
    <vt:vector size="1" baseType="lpstr">
      <vt:lpstr>GPU Profiling Checkpoint 02: Protocol, Client, and Smoke-Test Gate</vt:lpstr>
    </vt:vector>
  </TitlesOfParts>
  <Manager/>
  <Company/>
  <LinksUpToDate>false</LinksUpToDate>
  <CharactersWithSpaces>13302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GPU Profiling Checkpoint 02: Protocol, Client, and Smoke-Test Gate</dc:title>
  <dc:subject>Pre-experiment checkpoint for the vLLM normal-versus-MTP GPU profiling study</dc:subject>
  <dc:creator>Suwesh Prasad Sah- IT</dc:creator>
  <cp:keywords>GPU profiling, vLLM, MTP, speculative decoding, Nsight Systems, PyTorch Profiler, NVTX, protocol</cp:keywords>
  <dc:description>generated by python-docx</dc:description>
  <cp:lastModifiedBy>Suwesh Prasad Sah- IT</cp:lastModifiedBy>
  <cp:revision>3</cp:revision>
  <dcterms:created xsi:type="dcterms:W3CDTF">2026-09-07T08:24:00Z</dcterms:created>
  <dcterms:modified xsi:type="dcterms:W3CDTF">2026-09-07T08:49:00Z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vdocid">
    <vt:lpwstr>fb6ec92d-a82f-434c-a4a3-a9244b7bb628</vt:lpwstr>
  </property>
  <property fmtid="{D5CDD505-2E9C-101B-9397-08002B2CF9AE}" pid="3" name="GVData">
    <vt:lpwstr>eyJPUyI6IldpbmRvd3MiLCJkb2NJRCI6ImZiNmVjOTJkLWE4MmYtNDM0Yy1hNGEzLWE5MjQ0YjdiYjYyOCIsImRvY1N0YXRlIjoie30iLCJwYXJlbnRMaW5lSWRzIjoiW10iLCJ3cml0dGVuS2V5cyI6IltcIkNsYXNzaWZpY2F0aW9uXCIsXCJDbGFzc2lmaWNhdGlv</vt:lpwstr>
  </property>
  <property fmtid="{D5CDD505-2E9C-101B-9397-08002B2CF9AE}" pid="4" name="GVData0">
    <vt:lpwstr>blRhZ1NldElkXCIsXCJDb21wbGlhbmNlVGFnU2V0SWRcIixcIkZpbGVJZFwiLFwiZ3Zkb2NpZFwiLFwiVGFnRGF0ZVRpbWVcIixcIlVzZXJJZFwiXSIsIm5vT2ZHdkRhdGFFbnRyaWVzIjoiMyIsInRhZ3NldF9lMTY0MDlhN18xNzAwXzQxNTNfOTA5MF8zOTU1YmMy</vt:lpwstr>
  </property>
  <property fmtid="{D5CDD505-2E9C-101B-9397-08002B2CF9AE}" pid="5" name="GVData1">
    <vt:lpwstr>ZjBhZThfY2xhc3NpZmljYXRpb24iOiJDb25maWRlbnRpYWwiLCJ0YWdzZXRfMDA0ZGVhMzNfODc1MV80Mzk5X2E3NmVfOTVmMzcxY2I0MTE5X2Rpc3RyaWJ1dGlvbiI6IkludGVybmFsIn0=</vt:lpwstr>
  </property>
  <property fmtid="{D5CDD505-2E9C-101B-9397-08002B2CF9AE}" pid="6" name="GVData2">
    <vt:lpwstr>(end)</vt:lpwstr>
  </property>
  <property fmtid="{D5CDD505-2E9C-101B-9397-08002B2CF9AE}" pid="7" name="ClassificationTagSetId">
    <vt:lpwstr>e16409a7-1700-4153-9090-3955bc2f0ae8</vt:lpwstr>
  </property>
  <property fmtid="{D5CDD505-2E9C-101B-9397-08002B2CF9AE}" pid="8" name="Classification">
    <vt:lpwstr>Confidential</vt:lpwstr>
  </property>
  <property fmtid="{D5CDD505-2E9C-101B-9397-08002B2CF9AE}" pid="9" name="ComplianceTagSetId">
    <vt:lpwstr>f14fc1f1-8950-40d5-8a29-45909da947d6</vt:lpwstr>
  </property>
  <property fmtid="{D5CDD505-2E9C-101B-9397-08002B2CF9AE}" pid="10" name="FileId">
    <vt:lpwstr>fb6ec92d-a82f-434c-a4a3-a9244b7bb628</vt:lpwstr>
  </property>
  <property fmtid="{D5CDD505-2E9C-101B-9397-08002B2CF9AE}" pid="11" name="UserId">
    <vt:lpwstr>Suwesh Sah</vt:lpwstr>
  </property>
  <property fmtid="{D5CDD505-2E9C-101B-9397-08002B2CF9AE}" pid="12" name="TagDateTime">
    <vt:lpwstr>2026-09-07T08:45:34Z</vt:lpwstr>
  </property>
</Properties>
</file>