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28ADC" w14:textId="77777777" w:rsidR="003E57C2" w:rsidRDefault="00191E0C">
      <w:pPr>
        <w:shd w:val="clear" w:color="auto" w:fill="107C41"/>
        <w:spacing w:before="500"/>
        <w:jc w:val="center"/>
        <w:rPr>
          <w:rFonts w:hint="eastAsia"/>
        </w:rPr>
      </w:pPr>
      <w:r>
        <w:rPr>
          <w:b/>
          <w:color w:val="FFFFFF"/>
          <w:sz w:val="22"/>
        </w:rPr>
        <w:t>CHECKPOINT 2.2</w:t>
      </w:r>
    </w:p>
    <w:p w14:paraId="50960CB6" w14:textId="77777777" w:rsidR="003E57C2" w:rsidRDefault="00191E0C">
      <w:pPr>
        <w:pStyle w:val="Title"/>
        <w:jc w:val="center"/>
      </w:pPr>
      <w:r>
        <w:t>Smoke Tests Complete and Experimental Platform Admitted</w:t>
      </w:r>
    </w:p>
    <w:p w14:paraId="27728673" w14:textId="77777777" w:rsidR="003E57C2" w:rsidRDefault="00191E0C">
      <w:pPr>
        <w:pStyle w:val="Subtitle"/>
        <w:jc w:val="center"/>
      </w:pPr>
      <w:r>
        <w:t>Validated benchmark, Nsight Systems, NVTX, and PyTorch Profiler workflows</w:t>
      </w:r>
    </w:p>
    <w:p w14:paraId="6F9CA591" w14:textId="77777777" w:rsidR="003E57C2" w:rsidRDefault="003E57C2">
      <w:pPr>
        <w:rPr>
          <w:rFonts w:hint="eastAsia"/>
        </w:rPr>
      </w:pPr>
    </w:p>
    <w:tbl>
      <w:tblPr>
        <w:tblW w:w="0" w:type="auto"/>
        <w:tblLook w:val="04A0" w:firstRow="1" w:lastRow="0" w:firstColumn="1" w:lastColumn="0" w:noHBand="0" w:noVBand="1"/>
      </w:tblPr>
      <w:tblGrid>
        <w:gridCol w:w="10166"/>
      </w:tblGrid>
      <w:tr w:rsidR="003E57C2" w14:paraId="00EBEBDA" w14:textId="77777777">
        <w:tc>
          <w:tcPr>
            <w:tcW w:w="10166" w:type="dxa"/>
            <w:shd w:val="clear" w:color="auto" w:fill="E8F5ED"/>
            <w:tcMar>
              <w:top w:w="110" w:type="dxa"/>
              <w:left w:w="110" w:type="dxa"/>
              <w:bottom w:w="110" w:type="dxa"/>
              <w:right w:w="110" w:type="dxa"/>
            </w:tcMar>
            <w:vAlign w:val="center"/>
          </w:tcPr>
          <w:p w14:paraId="6788A9EE" w14:textId="77777777" w:rsidR="003E57C2" w:rsidRDefault="00191E0C">
            <w:pPr>
              <w:spacing w:after="0"/>
              <w:rPr>
                <w:rFonts w:hint="eastAsia"/>
              </w:rPr>
            </w:pPr>
            <w:r>
              <w:rPr>
                <w:b/>
                <w:color w:val="17365D"/>
                <w:sz w:val="20"/>
              </w:rPr>
              <w:t xml:space="preserve">Checkpoint decision: all mandatory smoke-test gates have passed. Protocol v1.2, the streaming client, clean </w:t>
            </w:r>
            <w:r>
              <w:rPr>
                <w:b/>
                <w:color w:val="17365D"/>
                <w:sz w:val="20"/>
              </w:rPr>
              <w:t>benchmark path, combined CUDA plus client NVTX capture, portable Nsight report workflow, and portable PyTorch trace workflow are ready for the controlled pilot experiment.</w:t>
            </w:r>
          </w:p>
        </w:tc>
      </w:tr>
    </w:tbl>
    <w:p w14:paraId="75C3BC3F" w14:textId="77777777" w:rsidR="003E57C2" w:rsidRDefault="00191E0C">
      <w:pPr>
        <w:spacing w:before="440"/>
        <w:jc w:val="center"/>
        <w:rPr>
          <w:rFonts w:hint="eastAsia"/>
        </w:rPr>
      </w:pPr>
      <w:r>
        <w:rPr>
          <w:b/>
          <w:color w:val="344054"/>
          <w:sz w:val="21"/>
        </w:rPr>
        <w:t>Suwesh Prasad Sah  |  8 September 2026</w:t>
      </w:r>
    </w:p>
    <w:p w14:paraId="7119A39D" w14:textId="77777777" w:rsidR="003E57C2" w:rsidRDefault="00191E0C">
      <w:pPr>
        <w:rPr>
          <w:rFonts w:hint="eastAsia"/>
        </w:rPr>
      </w:pPr>
      <w:r>
        <w:br w:type="page"/>
      </w:r>
    </w:p>
    <w:p w14:paraId="7FA6A49C" w14:textId="77777777" w:rsidR="003E57C2" w:rsidRDefault="00191E0C">
      <w:pPr>
        <w:pStyle w:val="Heading1"/>
      </w:pPr>
      <w:r>
        <w:lastRenderedPageBreak/>
        <w:t>1. Purpose and checkpoint boundary</w:t>
      </w:r>
    </w:p>
    <w:p w14:paraId="3705E823" w14:textId="77777777" w:rsidR="003E57C2" w:rsidRDefault="00191E0C">
      <w:pPr>
        <w:rPr>
          <w:rFonts w:hint="eastAsia"/>
        </w:rPr>
      </w:pPr>
      <w:r>
        <w:t>Checkpo</w:t>
      </w:r>
      <w:r>
        <w:t>int 2.1 recorded the successful client and benchmark smoke tests while leaving two profiling gates open: combined vLLM CUDA plus client NVTX capture, and a portable PyTorch Profiler trace. Checkpoint 2.2 records the completion of both gates and formally ad</w:t>
      </w:r>
      <w:r>
        <w:t>mits the platform to the pilot experiment.</w:t>
      </w:r>
    </w:p>
    <w:p w14:paraId="78A75D1B" w14:textId="77777777" w:rsidR="003E57C2" w:rsidRDefault="00191E0C">
      <w:pPr>
        <w:rPr>
          <w:rFonts w:hint="eastAsia"/>
        </w:rPr>
      </w:pPr>
      <w:r>
        <w:t>All timings and traces discussed here are engineering validation artifacts. They demonstrate correctness, isolation, interpretability, and portability, but are not included in the final experimental statistics.</w:t>
      </w:r>
    </w:p>
    <w:p w14:paraId="47ABBF35" w14:textId="77777777" w:rsidR="003E57C2" w:rsidRDefault="00191E0C">
      <w:pPr>
        <w:pStyle w:val="Heading1"/>
      </w:pPr>
      <w:r>
        <w:t>2.</w:t>
      </w:r>
      <w:r>
        <w:t xml:space="preserve"> Frozen experimental foundation</w:t>
      </w:r>
    </w:p>
    <w:p w14:paraId="22D32B66" w14:textId="77777777" w:rsidR="003E57C2" w:rsidRDefault="00191E0C">
      <w:pPr>
        <w:pStyle w:val="ListBullet"/>
        <w:rPr>
          <w:rFonts w:hint="eastAsia"/>
        </w:rPr>
      </w:pPr>
      <w:r>
        <w:t>Protocol v1.2 is checksummed and read-only.</w:t>
      </w:r>
    </w:p>
    <w:p w14:paraId="1A34A50D" w14:textId="77777777" w:rsidR="003E57C2" w:rsidRDefault="00191E0C">
      <w:pPr>
        <w:pStyle w:val="ListBullet"/>
        <w:rPr>
          <w:rFonts w:hint="eastAsia"/>
        </w:rPr>
      </w:pPr>
      <w:r>
        <w:t>Normal and MTP deployments share model, context length, batching, cache, parser, and request controls; MTP alone adds the two-token speculative configuration.</w:t>
      </w:r>
    </w:p>
    <w:p w14:paraId="70AC91A7" w14:textId="77777777" w:rsidR="003E57C2" w:rsidRDefault="00191E0C">
      <w:pPr>
        <w:pStyle w:val="ListBullet"/>
        <w:rPr>
          <w:rFonts w:hint="eastAsia"/>
        </w:rPr>
      </w:pPr>
      <w:r>
        <w:t xml:space="preserve">The controlled model </w:t>
      </w:r>
      <w:r>
        <w:t>length is 8,192 tokens, max_num_seqs is 1, and the workload output ceiling remains 1,024 tokens.</w:t>
      </w:r>
    </w:p>
    <w:p w14:paraId="275C9AC5" w14:textId="77777777" w:rsidR="003E57C2" w:rsidRDefault="00191E0C">
      <w:pPr>
        <w:pStyle w:val="ListBullet"/>
        <w:rPr>
          <w:rFonts w:hint="eastAsia"/>
        </w:rPr>
      </w:pPr>
      <w:r>
        <w:t>Gemma 4 thinking is explicitly enabled through chat_template_kwargs, allowing reliable delta.reasoning, delta.content, and delta.tool_calls separation.</w:t>
      </w:r>
    </w:p>
    <w:p w14:paraId="26AA4F02" w14:textId="77777777" w:rsidR="003E57C2" w:rsidRDefault="00191E0C">
      <w:pPr>
        <w:pStyle w:val="ListBullet"/>
        <w:rPr>
          <w:rFonts w:hint="eastAsia"/>
        </w:rPr>
      </w:pPr>
      <w:r>
        <w:t>Three s</w:t>
      </w:r>
      <w:r>
        <w:t>trict prompt classes are frozen: constrained poetry, objectively checkable Amdahl reasoning, and structured weather-tool selection.</w:t>
      </w:r>
    </w:p>
    <w:p w14:paraId="6EA5D897" w14:textId="77777777" w:rsidR="003E57C2" w:rsidRDefault="00191E0C">
      <w:pPr>
        <w:pStyle w:val="Heading1"/>
      </w:pPr>
      <w:r>
        <w:t>3. Complete smoke-test result</w:t>
      </w:r>
    </w:p>
    <w:tbl>
      <w:tblPr>
        <w:tblW w:w="0" w:type="auto"/>
        <w:jc w:val="center"/>
        <w:tblLayout w:type="fixed"/>
        <w:tblLook w:val="04A0" w:firstRow="1" w:lastRow="0" w:firstColumn="1" w:lastColumn="0" w:noHBand="0" w:noVBand="1"/>
      </w:tblPr>
      <w:tblGrid>
        <w:gridCol w:w="2707"/>
        <w:gridCol w:w="2707"/>
        <w:gridCol w:w="4601"/>
      </w:tblGrid>
      <w:tr w:rsidR="003E57C2" w14:paraId="5B029F0A" w14:textId="77777777" w:rsidTr="00706A98">
        <w:trPr>
          <w:trHeight w:val="193"/>
          <w:jc w:val="center"/>
        </w:trPr>
        <w:tc>
          <w:tcPr>
            <w:tcW w:w="2707" w:type="dxa"/>
            <w:shd w:val="clear" w:color="auto" w:fill="17365D"/>
            <w:tcMar>
              <w:top w:w="110" w:type="dxa"/>
              <w:left w:w="110" w:type="dxa"/>
              <w:bottom w:w="110" w:type="dxa"/>
              <w:right w:w="110" w:type="dxa"/>
            </w:tcMar>
            <w:vAlign w:val="center"/>
          </w:tcPr>
          <w:p w14:paraId="6B730307" w14:textId="77777777" w:rsidR="003E57C2" w:rsidRDefault="00191E0C">
            <w:pPr>
              <w:spacing w:after="0"/>
              <w:rPr>
                <w:rFonts w:hint="eastAsia"/>
              </w:rPr>
            </w:pPr>
            <w:r>
              <w:rPr>
                <w:b/>
                <w:color w:val="FFFFFF"/>
                <w:sz w:val="18"/>
              </w:rPr>
              <w:t>Validation gate</w:t>
            </w:r>
          </w:p>
        </w:tc>
        <w:tc>
          <w:tcPr>
            <w:tcW w:w="2707" w:type="dxa"/>
            <w:shd w:val="clear" w:color="auto" w:fill="17365D"/>
            <w:tcMar>
              <w:top w:w="110" w:type="dxa"/>
              <w:left w:w="110" w:type="dxa"/>
              <w:bottom w:w="110" w:type="dxa"/>
              <w:right w:w="110" w:type="dxa"/>
            </w:tcMar>
            <w:vAlign w:val="center"/>
          </w:tcPr>
          <w:p w14:paraId="36480C38" w14:textId="77777777" w:rsidR="003E57C2" w:rsidRDefault="00191E0C">
            <w:pPr>
              <w:spacing w:after="0"/>
              <w:jc w:val="center"/>
              <w:rPr>
                <w:rFonts w:hint="eastAsia"/>
              </w:rPr>
            </w:pPr>
            <w:r>
              <w:rPr>
                <w:b/>
                <w:color w:val="FFFFFF"/>
                <w:sz w:val="18"/>
              </w:rPr>
              <w:t>Status</w:t>
            </w:r>
          </w:p>
        </w:tc>
        <w:tc>
          <w:tcPr>
            <w:tcW w:w="4601" w:type="dxa"/>
            <w:shd w:val="clear" w:color="auto" w:fill="17365D"/>
            <w:tcMar>
              <w:top w:w="110" w:type="dxa"/>
              <w:left w:w="110" w:type="dxa"/>
              <w:bottom w:w="110" w:type="dxa"/>
              <w:right w:w="110" w:type="dxa"/>
            </w:tcMar>
            <w:vAlign w:val="center"/>
          </w:tcPr>
          <w:p w14:paraId="050990BF" w14:textId="77777777" w:rsidR="003E57C2" w:rsidRDefault="00191E0C">
            <w:pPr>
              <w:spacing w:after="0"/>
              <w:rPr>
                <w:rFonts w:hint="eastAsia"/>
              </w:rPr>
            </w:pPr>
            <w:r>
              <w:rPr>
                <w:b/>
                <w:color w:val="FFFFFF"/>
                <w:sz w:val="18"/>
              </w:rPr>
              <w:t>Observed evidence</w:t>
            </w:r>
          </w:p>
        </w:tc>
      </w:tr>
      <w:tr w:rsidR="003E57C2" w14:paraId="2D17484E" w14:textId="77777777" w:rsidTr="00706A98">
        <w:trPr>
          <w:trHeight w:val="181"/>
          <w:jc w:val="center"/>
        </w:trPr>
        <w:tc>
          <w:tcPr>
            <w:tcW w:w="2707" w:type="dxa"/>
            <w:shd w:val="clear" w:color="auto" w:fill="F7F9FC"/>
            <w:tcMar>
              <w:top w:w="110" w:type="dxa"/>
              <w:left w:w="110" w:type="dxa"/>
              <w:bottom w:w="110" w:type="dxa"/>
              <w:right w:w="110" w:type="dxa"/>
            </w:tcMar>
            <w:vAlign w:val="center"/>
          </w:tcPr>
          <w:p w14:paraId="0E9C308E" w14:textId="77777777" w:rsidR="003E57C2" w:rsidRDefault="00191E0C">
            <w:pPr>
              <w:spacing w:after="0"/>
              <w:rPr>
                <w:rFonts w:hint="eastAsia"/>
              </w:rPr>
            </w:pPr>
            <w:r>
              <w:rPr>
                <w:color w:val="1F2937"/>
                <w:sz w:val="17"/>
              </w:rPr>
              <w:t>Protocol checksum and loading</w:t>
            </w:r>
          </w:p>
        </w:tc>
        <w:tc>
          <w:tcPr>
            <w:tcW w:w="2707" w:type="dxa"/>
            <w:shd w:val="clear" w:color="auto" w:fill="F7F9FC"/>
            <w:tcMar>
              <w:top w:w="110" w:type="dxa"/>
              <w:left w:w="110" w:type="dxa"/>
              <w:bottom w:w="110" w:type="dxa"/>
              <w:right w:w="110" w:type="dxa"/>
            </w:tcMar>
            <w:vAlign w:val="center"/>
          </w:tcPr>
          <w:p w14:paraId="18FF7CF9" w14:textId="77777777" w:rsidR="003E57C2" w:rsidRDefault="00191E0C">
            <w:pPr>
              <w:spacing w:after="0"/>
              <w:jc w:val="center"/>
              <w:rPr>
                <w:rFonts w:hint="eastAsia"/>
              </w:rPr>
            </w:pPr>
            <w:r>
              <w:rPr>
                <w:b/>
                <w:color w:val="107C41"/>
                <w:sz w:val="17"/>
              </w:rPr>
              <w:t>PASS</w:t>
            </w:r>
          </w:p>
        </w:tc>
        <w:tc>
          <w:tcPr>
            <w:tcW w:w="4601" w:type="dxa"/>
            <w:shd w:val="clear" w:color="auto" w:fill="F7F9FC"/>
            <w:tcMar>
              <w:top w:w="110" w:type="dxa"/>
              <w:left w:w="110" w:type="dxa"/>
              <w:bottom w:w="110" w:type="dxa"/>
              <w:right w:w="110" w:type="dxa"/>
            </w:tcMar>
            <w:vAlign w:val="center"/>
          </w:tcPr>
          <w:p w14:paraId="1C6A1794" w14:textId="77777777" w:rsidR="003E57C2" w:rsidRDefault="00191E0C">
            <w:pPr>
              <w:spacing w:after="0"/>
              <w:rPr>
                <w:rFonts w:hint="eastAsia"/>
              </w:rPr>
            </w:pPr>
            <w:r>
              <w:rPr>
                <w:color w:val="1F2937"/>
                <w:sz w:val="17"/>
              </w:rPr>
              <w:t xml:space="preserve">Client validates </w:t>
            </w:r>
            <w:r>
              <w:rPr>
                <w:color w:val="1F2937"/>
                <w:sz w:val="17"/>
              </w:rPr>
              <w:t>frozen version 1.2 and SHA-256 before every request.</w:t>
            </w:r>
          </w:p>
        </w:tc>
      </w:tr>
      <w:tr w:rsidR="003E57C2" w14:paraId="6B76A176" w14:textId="77777777" w:rsidTr="00706A98">
        <w:trPr>
          <w:trHeight w:val="181"/>
          <w:jc w:val="center"/>
        </w:trPr>
        <w:tc>
          <w:tcPr>
            <w:tcW w:w="2707" w:type="dxa"/>
            <w:shd w:val="clear" w:color="auto" w:fill="FFFFFF"/>
            <w:tcMar>
              <w:top w:w="110" w:type="dxa"/>
              <w:left w:w="110" w:type="dxa"/>
              <w:bottom w:w="110" w:type="dxa"/>
              <w:right w:w="110" w:type="dxa"/>
            </w:tcMar>
            <w:vAlign w:val="center"/>
          </w:tcPr>
          <w:p w14:paraId="713DB35F" w14:textId="77777777" w:rsidR="003E57C2" w:rsidRDefault="00191E0C">
            <w:pPr>
              <w:spacing w:after="0"/>
              <w:rPr>
                <w:rFonts w:hint="eastAsia"/>
              </w:rPr>
            </w:pPr>
            <w:r>
              <w:rPr>
                <w:color w:val="1F2937"/>
                <w:sz w:val="17"/>
              </w:rPr>
              <w:t>Reduced-memory normal deployment</w:t>
            </w:r>
          </w:p>
        </w:tc>
        <w:tc>
          <w:tcPr>
            <w:tcW w:w="2707" w:type="dxa"/>
            <w:shd w:val="clear" w:color="auto" w:fill="FFFFFF"/>
            <w:tcMar>
              <w:top w:w="110" w:type="dxa"/>
              <w:left w:w="110" w:type="dxa"/>
              <w:bottom w:w="110" w:type="dxa"/>
              <w:right w:w="110" w:type="dxa"/>
            </w:tcMar>
            <w:vAlign w:val="center"/>
          </w:tcPr>
          <w:p w14:paraId="671737F3" w14:textId="77777777" w:rsidR="003E57C2" w:rsidRDefault="00191E0C">
            <w:pPr>
              <w:spacing w:after="0"/>
              <w:jc w:val="center"/>
              <w:rPr>
                <w:rFonts w:hint="eastAsia"/>
              </w:rPr>
            </w:pPr>
            <w:r>
              <w:rPr>
                <w:b/>
                <w:color w:val="107C41"/>
                <w:sz w:val="17"/>
              </w:rPr>
              <w:t>PASS</w:t>
            </w:r>
          </w:p>
        </w:tc>
        <w:tc>
          <w:tcPr>
            <w:tcW w:w="4601" w:type="dxa"/>
            <w:shd w:val="clear" w:color="auto" w:fill="FFFFFF"/>
            <w:tcMar>
              <w:top w:w="110" w:type="dxa"/>
              <w:left w:w="110" w:type="dxa"/>
              <w:bottom w:w="110" w:type="dxa"/>
              <w:right w:w="110" w:type="dxa"/>
            </w:tcMar>
            <w:vAlign w:val="center"/>
          </w:tcPr>
          <w:p w14:paraId="00CA499C" w14:textId="77777777" w:rsidR="003E57C2" w:rsidRDefault="00191E0C">
            <w:pPr>
              <w:spacing w:after="0"/>
              <w:rPr>
                <w:rFonts w:hint="eastAsia"/>
              </w:rPr>
            </w:pPr>
            <w:r>
              <w:rPr>
                <w:color w:val="1F2937"/>
                <w:sz w:val="17"/>
              </w:rPr>
              <w:t>Service became healthy with 8,192-token context and one active sequence.</w:t>
            </w:r>
          </w:p>
        </w:tc>
      </w:tr>
      <w:tr w:rsidR="003E57C2" w14:paraId="7FE51FBB" w14:textId="77777777" w:rsidTr="00706A98">
        <w:trPr>
          <w:trHeight w:val="181"/>
          <w:jc w:val="center"/>
        </w:trPr>
        <w:tc>
          <w:tcPr>
            <w:tcW w:w="2707" w:type="dxa"/>
            <w:shd w:val="clear" w:color="auto" w:fill="F7F9FC"/>
            <w:tcMar>
              <w:top w:w="110" w:type="dxa"/>
              <w:left w:w="110" w:type="dxa"/>
              <w:bottom w:w="110" w:type="dxa"/>
              <w:right w:w="110" w:type="dxa"/>
            </w:tcMar>
            <w:vAlign w:val="center"/>
          </w:tcPr>
          <w:p w14:paraId="411D2A1F" w14:textId="77777777" w:rsidR="003E57C2" w:rsidRDefault="00191E0C">
            <w:pPr>
              <w:spacing w:after="0"/>
              <w:rPr>
                <w:rFonts w:hint="eastAsia"/>
              </w:rPr>
            </w:pPr>
            <w:r>
              <w:rPr>
                <w:color w:val="1F2937"/>
                <w:sz w:val="17"/>
              </w:rPr>
              <w:t>Reasoning parser</w:t>
            </w:r>
          </w:p>
        </w:tc>
        <w:tc>
          <w:tcPr>
            <w:tcW w:w="2707" w:type="dxa"/>
            <w:shd w:val="clear" w:color="auto" w:fill="F7F9FC"/>
            <w:tcMar>
              <w:top w:w="110" w:type="dxa"/>
              <w:left w:w="110" w:type="dxa"/>
              <w:bottom w:w="110" w:type="dxa"/>
              <w:right w:w="110" w:type="dxa"/>
            </w:tcMar>
            <w:vAlign w:val="center"/>
          </w:tcPr>
          <w:p w14:paraId="16E5CF31" w14:textId="77777777" w:rsidR="003E57C2" w:rsidRDefault="00191E0C">
            <w:pPr>
              <w:spacing w:after="0"/>
              <w:jc w:val="center"/>
              <w:rPr>
                <w:rFonts w:hint="eastAsia"/>
              </w:rPr>
            </w:pPr>
            <w:r>
              <w:rPr>
                <w:b/>
                <w:color w:val="107C41"/>
                <w:sz w:val="17"/>
              </w:rPr>
              <w:t>PASS</w:t>
            </w:r>
          </w:p>
        </w:tc>
        <w:tc>
          <w:tcPr>
            <w:tcW w:w="4601" w:type="dxa"/>
            <w:shd w:val="clear" w:color="auto" w:fill="F7F9FC"/>
            <w:tcMar>
              <w:top w:w="110" w:type="dxa"/>
              <w:left w:w="110" w:type="dxa"/>
              <w:bottom w:w="110" w:type="dxa"/>
              <w:right w:w="110" w:type="dxa"/>
            </w:tcMar>
            <w:vAlign w:val="center"/>
          </w:tcPr>
          <w:p w14:paraId="094A3BCF" w14:textId="77777777" w:rsidR="003E57C2" w:rsidRDefault="00191E0C">
            <w:pPr>
              <w:spacing w:after="0"/>
              <w:rPr>
                <w:rFonts w:hint="eastAsia"/>
              </w:rPr>
            </w:pPr>
            <w:r>
              <w:rPr>
                <w:color w:val="1F2937"/>
                <w:sz w:val="17"/>
              </w:rPr>
              <w:t xml:space="preserve">Reasoning and strict final answer arrived in separate structured </w:t>
            </w:r>
            <w:r>
              <w:rPr>
                <w:color w:val="1F2937"/>
                <w:sz w:val="17"/>
              </w:rPr>
              <w:t>fields.</w:t>
            </w:r>
          </w:p>
        </w:tc>
      </w:tr>
      <w:tr w:rsidR="003E57C2" w14:paraId="02E720D4" w14:textId="77777777" w:rsidTr="00706A98">
        <w:trPr>
          <w:trHeight w:val="351"/>
          <w:jc w:val="center"/>
        </w:trPr>
        <w:tc>
          <w:tcPr>
            <w:tcW w:w="2707" w:type="dxa"/>
            <w:shd w:val="clear" w:color="auto" w:fill="FFFFFF"/>
            <w:tcMar>
              <w:top w:w="110" w:type="dxa"/>
              <w:left w:w="110" w:type="dxa"/>
              <w:bottom w:w="110" w:type="dxa"/>
              <w:right w:w="110" w:type="dxa"/>
            </w:tcMar>
            <w:vAlign w:val="center"/>
          </w:tcPr>
          <w:p w14:paraId="13FF373B" w14:textId="77777777" w:rsidR="003E57C2" w:rsidRDefault="00191E0C">
            <w:pPr>
              <w:spacing w:after="0"/>
              <w:rPr>
                <w:rFonts w:hint="eastAsia"/>
              </w:rPr>
            </w:pPr>
            <w:r>
              <w:rPr>
                <w:color w:val="1F2937"/>
                <w:sz w:val="17"/>
              </w:rPr>
              <w:t>Plain-text workload</w:t>
            </w:r>
          </w:p>
        </w:tc>
        <w:tc>
          <w:tcPr>
            <w:tcW w:w="2707" w:type="dxa"/>
            <w:shd w:val="clear" w:color="auto" w:fill="FFFFFF"/>
            <w:tcMar>
              <w:top w:w="110" w:type="dxa"/>
              <w:left w:w="110" w:type="dxa"/>
              <w:bottom w:w="110" w:type="dxa"/>
              <w:right w:w="110" w:type="dxa"/>
            </w:tcMar>
            <w:vAlign w:val="center"/>
          </w:tcPr>
          <w:p w14:paraId="40F6944C" w14:textId="77777777" w:rsidR="003E57C2" w:rsidRDefault="00191E0C">
            <w:pPr>
              <w:spacing w:after="0"/>
              <w:jc w:val="center"/>
              <w:rPr>
                <w:rFonts w:hint="eastAsia"/>
              </w:rPr>
            </w:pPr>
            <w:r>
              <w:rPr>
                <w:b/>
                <w:color w:val="107C41"/>
                <w:sz w:val="17"/>
              </w:rPr>
              <w:t>PASS</w:t>
            </w:r>
          </w:p>
        </w:tc>
        <w:tc>
          <w:tcPr>
            <w:tcW w:w="4601" w:type="dxa"/>
            <w:shd w:val="clear" w:color="auto" w:fill="FFFFFF"/>
            <w:tcMar>
              <w:top w:w="110" w:type="dxa"/>
              <w:left w:w="110" w:type="dxa"/>
              <w:bottom w:w="110" w:type="dxa"/>
              <w:right w:w="110" w:type="dxa"/>
            </w:tcMar>
            <w:vAlign w:val="center"/>
          </w:tcPr>
          <w:p w14:paraId="4EA3F47C" w14:textId="77777777" w:rsidR="003E57C2" w:rsidRDefault="00191E0C">
            <w:pPr>
              <w:spacing w:after="0"/>
              <w:rPr>
                <w:rFonts w:hint="eastAsia"/>
              </w:rPr>
            </w:pPr>
            <w:r>
              <w:rPr>
                <w:color w:val="1F2937"/>
                <w:sz w:val="17"/>
              </w:rPr>
              <w:t>Reasoning separated from an exact eight-line final poem; format validation passed.</w:t>
            </w:r>
          </w:p>
        </w:tc>
      </w:tr>
      <w:tr w:rsidR="003E57C2" w14:paraId="61C301F3" w14:textId="77777777" w:rsidTr="00706A98">
        <w:trPr>
          <w:trHeight w:val="363"/>
          <w:jc w:val="center"/>
        </w:trPr>
        <w:tc>
          <w:tcPr>
            <w:tcW w:w="2707" w:type="dxa"/>
            <w:shd w:val="clear" w:color="auto" w:fill="F7F9FC"/>
            <w:tcMar>
              <w:top w:w="110" w:type="dxa"/>
              <w:left w:w="110" w:type="dxa"/>
              <w:bottom w:w="110" w:type="dxa"/>
              <w:right w:w="110" w:type="dxa"/>
            </w:tcMar>
            <w:vAlign w:val="center"/>
          </w:tcPr>
          <w:p w14:paraId="77E30814" w14:textId="77777777" w:rsidR="003E57C2" w:rsidRDefault="00191E0C">
            <w:pPr>
              <w:spacing w:after="0"/>
              <w:rPr>
                <w:rFonts w:hint="eastAsia"/>
              </w:rPr>
            </w:pPr>
            <w:r>
              <w:rPr>
                <w:color w:val="1F2937"/>
                <w:sz w:val="17"/>
              </w:rPr>
              <w:t>Tool workload</w:t>
            </w:r>
          </w:p>
        </w:tc>
        <w:tc>
          <w:tcPr>
            <w:tcW w:w="2707" w:type="dxa"/>
            <w:shd w:val="clear" w:color="auto" w:fill="F7F9FC"/>
            <w:tcMar>
              <w:top w:w="110" w:type="dxa"/>
              <w:left w:w="110" w:type="dxa"/>
              <w:bottom w:w="110" w:type="dxa"/>
              <w:right w:w="110" w:type="dxa"/>
            </w:tcMar>
            <w:vAlign w:val="center"/>
          </w:tcPr>
          <w:p w14:paraId="5BB9E7C5" w14:textId="77777777" w:rsidR="003E57C2" w:rsidRDefault="00191E0C">
            <w:pPr>
              <w:spacing w:after="0"/>
              <w:jc w:val="center"/>
              <w:rPr>
                <w:rFonts w:hint="eastAsia"/>
              </w:rPr>
            </w:pPr>
            <w:r>
              <w:rPr>
                <w:b/>
                <w:color w:val="107C41"/>
                <w:sz w:val="17"/>
              </w:rPr>
              <w:t>PASS</w:t>
            </w:r>
          </w:p>
        </w:tc>
        <w:tc>
          <w:tcPr>
            <w:tcW w:w="4601" w:type="dxa"/>
            <w:shd w:val="clear" w:color="auto" w:fill="F7F9FC"/>
            <w:tcMar>
              <w:top w:w="110" w:type="dxa"/>
              <w:left w:w="110" w:type="dxa"/>
              <w:bottom w:w="110" w:type="dxa"/>
              <w:right w:w="110" w:type="dxa"/>
            </w:tcMar>
            <w:vAlign w:val="center"/>
          </w:tcPr>
          <w:p w14:paraId="05FD4EC1" w14:textId="77777777" w:rsidR="003E57C2" w:rsidRDefault="00191E0C">
            <w:pPr>
              <w:spacing w:after="0"/>
              <w:rPr>
                <w:rFonts w:hint="eastAsia"/>
              </w:rPr>
            </w:pPr>
            <w:r>
              <w:rPr>
                <w:color w:val="1F2937"/>
                <w:sz w:val="17"/>
              </w:rPr>
              <w:t>Reasoning separated from one valid get_weather call with expected JSON arguments.</w:t>
            </w:r>
          </w:p>
        </w:tc>
      </w:tr>
      <w:tr w:rsidR="003E57C2" w14:paraId="4D595FDC" w14:textId="77777777" w:rsidTr="00706A98">
        <w:trPr>
          <w:trHeight w:val="351"/>
          <w:jc w:val="center"/>
        </w:trPr>
        <w:tc>
          <w:tcPr>
            <w:tcW w:w="2707" w:type="dxa"/>
            <w:shd w:val="clear" w:color="auto" w:fill="FFFFFF"/>
            <w:tcMar>
              <w:top w:w="110" w:type="dxa"/>
              <w:left w:w="110" w:type="dxa"/>
              <w:bottom w:w="110" w:type="dxa"/>
              <w:right w:w="110" w:type="dxa"/>
            </w:tcMar>
            <w:vAlign w:val="center"/>
          </w:tcPr>
          <w:p w14:paraId="112EBE31" w14:textId="77777777" w:rsidR="003E57C2" w:rsidRDefault="00191E0C">
            <w:pPr>
              <w:spacing w:after="0"/>
              <w:rPr>
                <w:rFonts w:hint="eastAsia"/>
              </w:rPr>
            </w:pPr>
            <w:r>
              <w:rPr>
                <w:color w:val="1F2937"/>
                <w:sz w:val="17"/>
              </w:rPr>
              <w:t>Clean benchmark</w:t>
            </w:r>
          </w:p>
        </w:tc>
        <w:tc>
          <w:tcPr>
            <w:tcW w:w="2707" w:type="dxa"/>
            <w:shd w:val="clear" w:color="auto" w:fill="FFFFFF"/>
            <w:tcMar>
              <w:top w:w="110" w:type="dxa"/>
              <w:left w:w="110" w:type="dxa"/>
              <w:bottom w:w="110" w:type="dxa"/>
              <w:right w:w="110" w:type="dxa"/>
            </w:tcMar>
            <w:vAlign w:val="center"/>
          </w:tcPr>
          <w:p w14:paraId="49431B64" w14:textId="77777777" w:rsidR="003E57C2" w:rsidRDefault="00191E0C">
            <w:pPr>
              <w:spacing w:after="0"/>
              <w:jc w:val="center"/>
              <w:rPr>
                <w:rFonts w:hint="eastAsia"/>
              </w:rPr>
            </w:pPr>
            <w:r>
              <w:rPr>
                <w:b/>
                <w:color w:val="107C41"/>
                <w:sz w:val="17"/>
              </w:rPr>
              <w:t>PASS</w:t>
            </w:r>
          </w:p>
        </w:tc>
        <w:tc>
          <w:tcPr>
            <w:tcW w:w="4601" w:type="dxa"/>
            <w:shd w:val="clear" w:color="auto" w:fill="FFFFFF"/>
            <w:tcMar>
              <w:top w:w="110" w:type="dxa"/>
              <w:left w:w="110" w:type="dxa"/>
              <w:bottom w:w="110" w:type="dxa"/>
              <w:right w:w="110" w:type="dxa"/>
            </w:tcMar>
            <w:vAlign w:val="center"/>
          </w:tcPr>
          <w:p w14:paraId="2E7EB102" w14:textId="77777777" w:rsidR="003E57C2" w:rsidRDefault="00191E0C">
            <w:pPr>
              <w:spacing w:after="0"/>
              <w:rPr>
                <w:rFonts w:hint="eastAsia"/>
              </w:rPr>
            </w:pPr>
            <w:r>
              <w:rPr>
                <w:color w:val="1F2937"/>
                <w:sz w:val="17"/>
              </w:rPr>
              <w:t>Client-only run</w:t>
            </w:r>
            <w:r>
              <w:rPr>
                <w:color w:val="1F2937"/>
                <w:sz w:val="17"/>
              </w:rPr>
              <w:t xml:space="preserve"> produced raw.jsonl, summary.json, and exactly one results.csv row.</w:t>
            </w:r>
          </w:p>
        </w:tc>
      </w:tr>
      <w:tr w:rsidR="003E57C2" w14:paraId="47437CC6" w14:textId="77777777" w:rsidTr="00706A98">
        <w:trPr>
          <w:trHeight w:val="351"/>
          <w:jc w:val="center"/>
        </w:trPr>
        <w:tc>
          <w:tcPr>
            <w:tcW w:w="2707" w:type="dxa"/>
            <w:shd w:val="clear" w:color="auto" w:fill="F7F9FC"/>
            <w:tcMar>
              <w:top w:w="110" w:type="dxa"/>
              <w:left w:w="110" w:type="dxa"/>
              <w:bottom w:w="110" w:type="dxa"/>
              <w:right w:w="110" w:type="dxa"/>
            </w:tcMar>
            <w:vAlign w:val="center"/>
          </w:tcPr>
          <w:p w14:paraId="78BF555B" w14:textId="77777777" w:rsidR="003E57C2" w:rsidRDefault="00191E0C">
            <w:pPr>
              <w:spacing w:after="0"/>
              <w:rPr>
                <w:rFonts w:hint="eastAsia"/>
              </w:rPr>
            </w:pPr>
            <w:r>
              <w:rPr>
                <w:color w:val="1F2937"/>
                <w:sz w:val="17"/>
              </w:rPr>
              <w:t>Client NVTX points</w:t>
            </w:r>
          </w:p>
        </w:tc>
        <w:tc>
          <w:tcPr>
            <w:tcW w:w="2707" w:type="dxa"/>
            <w:shd w:val="clear" w:color="auto" w:fill="F7F9FC"/>
            <w:tcMar>
              <w:top w:w="110" w:type="dxa"/>
              <w:left w:w="110" w:type="dxa"/>
              <w:bottom w:w="110" w:type="dxa"/>
              <w:right w:w="110" w:type="dxa"/>
            </w:tcMar>
            <w:vAlign w:val="center"/>
          </w:tcPr>
          <w:p w14:paraId="5F3A8D7A" w14:textId="77777777" w:rsidR="003E57C2" w:rsidRDefault="00191E0C">
            <w:pPr>
              <w:spacing w:after="0"/>
              <w:jc w:val="center"/>
              <w:rPr>
                <w:rFonts w:hint="eastAsia"/>
              </w:rPr>
            </w:pPr>
            <w:r>
              <w:rPr>
                <w:b/>
                <w:color w:val="107C41"/>
                <w:sz w:val="17"/>
              </w:rPr>
              <w:t>PASS</w:t>
            </w:r>
          </w:p>
        </w:tc>
        <w:tc>
          <w:tcPr>
            <w:tcW w:w="4601" w:type="dxa"/>
            <w:shd w:val="clear" w:color="auto" w:fill="F7F9FC"/>
            <w:tcMar>
              <w:top w:w="110" w:type="dxa"/>
              <w:left w:w="110" w:type="dxa"/>
              <w:bottom w:w="110" w:type="dxa"/>
              <w:right w:w="110" w:type="dxa"/>
            </w:tcMar>
            <w:vAlign w:val="center"/>
          </w:tcPr>
          <w:p w14:paraId="64526041" w14:textId="77777777" w:rsidR="003E57C2" w:rsidRDefault="00191E0C">
            <w:pPr>
              <w:spacing w:after="0"/>
              <w:rPr>
                <w:rFonts w:hint="eastAsia"/>
              </w:rPr>
            </w:pPr>
            <w:r>
              <w:rPr>
                <w:color w:val="1F2937"/>
                <w:sz w:val="17"/>
              </w:rPr>
              <w:t>Named phase events were visible after report transfer to the WSL Nsight GUI.</w:t>
            </w:r>
          </w:p>
        </w:tc>
      </w:tr>
      <w:tr w:rsidR="003E57C2" w14:paraId="5294529A" w14:textId="77777777" w:rsidTr="00706A98">
        <w:trPr>
          <w:trHeight w:val="363"/>
          <w:jc w:val="center"/>
        </w:trPr>
        <w:tc>
          <w:tcPr>
            <w:tcW w:w="2707" w:type="dxa"/>
            <w:shd w:val="clear" w:color="auto" w:fill="FFFFFF"/>
            <w:tcMar>
              <w:top w:w="110" w:type="dxa"/>
              <w:left w:w="110" w:type="dxa"/>
              <w:bottom w:w="110" w:type="dxa"/>
              <w:right w:w="110" w:type="dxa"/>
            </w:tcMar>
            <w:vAlign w:val="center"/>
          </w:tcPr>
          <w:p w14:paraId="031685A2" w14:textId="77777777" w:rsidR="003E57C2" w:rsidRDefault="00191E0C">
            <w:pPr>
              <w:spacing w:after="0"/>
              <w:rPr>
                <w:rFonts w:hint="eastAsia"/>
              </w:rPr>
            </w:pPr>
            <w:r>
              <w:rPr>
                <w:color w:val="1F2937"/>
                <w:sz w:val="17"/>
              </w:rPr>
              <w:t>Combined CUDA plus NVTX</w:t>
            </w:r>
          </w:p>
        </w:tc>
        <w:tc>
          <w:tcPr>
            <w:tcW w:w="2707" w:type="dxa"/>
            <w:shd w:val="clear" w:color="auto" w:fill="FFFFFF"/>
            <w:tcMar>
              <w:top w:w="110" w:type="dxa"/>
              <w:left w:w="110" w:type="dxa"/>
              <w:bottom w:w="110" w:type="dxa"/>
              <w:right w:w="110" w:type="dxa"/>
            </w:tcMar>
            <w:vAlign w:val="center"/>
          </w:tcPr>
          <w:p w14:paraId="12115931" w14:textId="77777777" w:rsidR="003E57C2" w:rsidRDefault="00191E0C">
            <w:pPr>
              <w:spacing w:after="0"/>
              <w:jc w:val="center"/>
              <w:rPr>
                <w:rFonts w:hint="eastAsia"/>
              </w:rPr>
            </w:pPr>
            <w:r>
              <w:rPr>
                <w:b/>
                <w:color w:val="107C41"/>
                <w:sz w:val="17"/>
              </w:rPr>
              <w:t>PASS</w:t>
            </w:r>
          </w:p>
        </w:tc>
        <w:tc>
          <w:tcPr>
            <w:tcW w:w="4601" w:type="dxa"/>
            <w:shd w:val="clear" w:color="auto" w:fill="FFFFFF"/>
            <w:tcMar>
              <w:top w:w="110" w:type="dxa"/>
              <w:left w:w="110" w:type="dxa"/>
              <w:bottom w:w="110" w:type="dxa"/>
              <w:right w:w="110" w:type="dxa"/>
            </w:tcMar>
            <w:vAlign w:val="center"/>
          </w:tcPr>
          <w:p w14:paraId="3E976F44" w14:textId="77777777" w:rsidR="003E57C2" w:rsidRDefault="00191E0C">
            <w:pPr>
              <w:spacing w:after="0"/>
              <w:rPr>
                <w:rFonts w:hint="eastAsia"/>
              </w:rPr>
            </w:pPr>
            <w:r>
              <w:rPr>
                <w:color w:val="1F2937"/>
                <w:sz w:val="17"/>
              </w:rPr>
              <w:t xml:space="preserve">One report contained VLLM::EngineCore CUDA activity and </w:t>
            </w:r>
            <w:r>
              <w:rPr>
                <w:color w:val="1F2937"/>
                <w:sz w:val="17"/>
              </w:rPr>
              <w:t>target-client semantic markers.</w:t>
            </w:r>
          </w:p>
        </w:tc>
      </w:tr>
      <w:tr w:rsidR="003E57C2" w14:paraId="743CC64D" w14:textId="77777777" w:rsidTr="00706A98">
        <w:trPr>
          <w:trHeight w:val="351"/>
          <w:jc w:val="center"/>
        </w:trPr>
        <w:tc>
          <w:tcPr>
            <w:tcW w:w="2707" w:type="dxa"/>
            <w:shd w:val="clear" w:color="auto" w:fill="F7F9FC"/>
            <w:tcMar>
              <w:top w:w="110" w:type="dxa"/>
              <w:left w:w="110" w:type="dxa"/>
              <w:bottom w:w="110" w:type="dxa"/>
              <w:right w:w="110" w:type="dxa"/>
            </w:tcMar>
            <w:vAlign w:val="center"/>
          </w:tcPr>
          <w:p w14:paraId="1F31C20D" w14:textId="77777777" w:rsidR="003E57C2" w:rsidRDefault="00191E0C">
            <w:pPr>
              <w:spacing w:after="0"/>
              <w:rPr>
                <w:rFonts w:hint="eastAsia"/>
              </w:rPr>
            </w:pPr>
            <w:r>
              <w:rPr>
                <w:color w:val="1F2937"/>
                <w:sz w:val="17"/>
              </w:rPr>
              <w:t>CUDA kernel visibility</w:t>
            </w:r>
          </w:p>
        </w:tc>
        <w:tc>
          <w:tcPr>
            <w:tcW w:w="2707" w:type="dxa"/>
            <w:shd w:val="clear" w:color="auto" w:fill="F7F9FC"/>
            <w:tcMar>
              <w:top w:w="110" w:type="dxa"/>
              <w:left w:w="110" w:type="dxa"/>
              <w:bottom w:w="110" w:type="dxa"/>
              <w:right w:w="110" w:type="dxa"/>
            </w:tcMar>
            <w:vAlign w:val="center"/>
          </w:tcPr>
          <w:p w14:paraId="52EE39F9" w14:textId="77777777" w:rsidR="003E57C2" w:rsidRDefault="00191E0C">
            <w:pPr>
              <w:spacing w:after="0"/>
              <w:jc w:val="center"/>
              <w:rPr>
                <w:rFonts w:hint="eastAsia"/>
              </w:rPr>
            </w:pPr>
            <w:r>
              <w:rPr>
                <w:b/>
                <w:color w:val="107C41"/>
                <w:sz w:val="17"/>
              </w:rPr>
              <w:t>PASS</w:t>
            </w:r>
          </w:p>
        </w:tc>
        <w:tc>
          <w:tcPr>
            <w:tcW w:w="4601" w:type="dxa"/>
            <w:shd w:val="clear" w:color="auto" w:fill="F7F9FC"/>
            <w:tcMar>
              <w:top w:w="110" w:type="dxa"/>
              <w:left w:w="110" w:type="dxa"/>
              <w:bottom w:w="110" w:type="dxa"/>
              <w:right w:w="110" w:type="dxa"/>
            </w:tcMar>
            <w:vAlign w:val="center"/>
          </w:tcPr>
          <w:p w14:paraId="1832E9B7" w14:textId="77777777" w:rsidR="003E57C2" w:rsidRDefault="00191E0C">
            <w:pPr>
              <w:spacing w:after="0"/>
              <w:rPr>
                <w:rFonts w:hint="eastAsia"/>
              </w:rPr>
            </w:pPr>
            <w:r>
              <w:rPr>
                <w:color w:val="1F2937"/>
                <w:sz w:val="17"/>
              </w:rPr>
              <w:t>GEMV, Marlin, CUTLASS GEMM, fused attention, KV-slot mapping, reductions, and elementwise kernels were visible.</w:t>
            </w:r>
          </w:p>
        </w:tc>
      </w:tr>
      <w:tr w:rsidR="003E57C2" w14:paraId="019ED283" w14:textId="77777777" w:rsidTr="00706A98">
        <w:trPr>
          <w:trHeight w:val="351"/>
          <w:jc w:val="center"/>
        </w:trPr>
        <w:tc>
          <w:tcPr>
            <w:tcW w:w="2707" w:type="dxa"/>
            <w:shd w:val="clear" w:color="auto" w:fill="FFFFFF"/>
            <w:tcMar>
              <w:top w:w="110" w:type="dxa"/>
              <w:left w:w="110" w:type="dxa"/>
              <w:bottom w:w="110" w:type="dxa"/>
              <w:right w:w="110" w:type="dxa"/>
            </w:tcMar>
            <w:vAlign w:val="center"/>
          </w:tcPr>
          <w:p w14:paraId="5A907A59" w14:textId="77777777" w:rsidR="003E57C2" w:rsidRDefault="00191E0C">
            <w:pPr>
              <w:spacing w:after="0"/>
              <w:rPr>
                <w:rFonts w:hint="eastAsia"/>
              </w:rPr>
            </w:pPr>
            <w:r>
              <w:rPr>
                <w:color w:val="1F2937"/>
                <w:sz w:val="17"/>
              </w:rPr>
              <w:t>Process and GPU cleanup</w:t>
            </w:r>
          </w:p>
        </w:tc>
        <w:tc>
          <w:tcPr>
            <w:tcW w:w="2707" w:type="dxa"/>
            <w:shd w:val="clear" w:color="auto" w:fill="FFFFFF"/>
            <w:tcMar>
              <w:top w:w="110" w:type="dxa"/>
              <w:left w:w="110" w:type="dxa"/>
              <w:bottom w:w="110" w:type="dxa"/>
              <w:right w:w="110" w:type="dxa"/>
            </w:tcMar>
            <w:vAlign w:val="center"/>
          </w:tcPr>
          <w:p w14:paraId="73B28444" w14:textId="77777777" w:rsidR="003E57C2" w:rsidRDefault="00191E0C">
            <w:pPr>
              <w:spacing w:after="0"/>
              <w:jc w:val="center"/>
              <w:rPr>
                <w:rFonts w:hint="eastAsia"/>
              </w:rPr>
            </w:pPr>
            <w:r>
              <w:rPr>
                <w:b/>
                <w:color w:val="107C41"/>
                <w:sz w:val="17"/>
              </w:rPr>
              <w:t>PASS</w:t>
            </w:r>
          </w:p>
        </w:tc>
        <w:tc>
          <w:tcPr>
            <w:tcW w:w="4601" w:type="dxa"/>
            <w:shd w:val="clear" w:color="auto" w:fill="FFFFFF"/>
            <w:tcMar>
              <w:top w:w="110" w:type="dxa"/>
              <w:left w:w="110" w:type="dxa"/>
              <w:bottom w:w="110" w:type="dxa"/>
              <w:right w:w="110" w:type="dxa"/>
            </w:tcMar>
            <w:vAlign w:val="center"/>
          </w:tcPr>
          <w:p w14:paraId="2289200A" w14:textId="77777777" w:rsidR="003E57C2" w:rsidRDefault="00191E0C">
            <w:pPr>
              <w:spacing w:after="0"/>
              <w:rPr>
                <w:rFonts w:hint="eastAsia"/>
              </w:rPr>
            </w:pPr>
            <w:r>
              <w:rPr>
                <w:color w:val="1F2937"/>
                <w:sz w:val="17"/>
              </w:rPr>
              <w:t xml:space="preserve">Temporary vLLM stopped and GPU compute memory </w:t>
            </w:r>
            <w:r>
              <w:rPr>
                <w:color w:val="1F2937"/>
                <w:sz w:val="17"/>
              </w:rPr>
              <w:t>returned to zero after capture.</w:t>
            </w:r>
          </w:p>
        </w:tc>
      </w:tr>
      <w:tr w:rsidR="003E57C2" w14:paraId="381FFDE5" w14:textId="77777777" w:rsidTr="00706A98">
        <w:trPr>
          <w:trHeight w:val="363"/>
          <w:jc w:val="center"/>
        </w:trPr>
        <w:tc>
          <w:tcPr>
            <w:tcW w:w="2707" w:type="dxa"/>
            <w:shd w:val="clear" w:color="auto" w:fill="F7F9FC"/>
            <w:tcMar>
              <w:top w:w="110" w:type="dxa"/>
              <w:left w:w="110" w:type="dxa"/>
              <w:bottom w:w="110" w:type="dxa"/>
              <w:right w:w="110" w:type="dxa"/>
            </w:tcMar>
            <w:vAlign w:val="center"/>
          </w:tcPr>
          <w:p w14:paraId="44FEABE1" w14:textId="77777777" w:rsidR="003E57C2" w:rsidRDefault="00191E0C">
            <w:pPr>
              <w:spacing w:after="0"/>
              <w:rPr>
                <w:rFonts w:hint="eastAsia"/>
              </w:rPr>
            </w:pPr>
            <w:r>
              <w:rPr>
                <w:color w:val="1F2937"/>
                <w:sz w:val="17"/>
              </w:rPr>
              <w:t>PyTorch Profiler service</w:t>
            </w:r>
          </w:p>
        </w:tc>
        <w:tc>
          <w:tcPr>
            <w:tcW w:w="2707" w:type="dxa"/>
            <w:shd w:val="clear" w:color="auto" w:fill="F7F9FC"/>
            <w:tcMar>
              <w:top w:w="110" w:type="dxa"/>
              <w:left w:w="110" w:type="dxa"/>
              <w:bottom w:w="110" w:type="dxa"/>
              <w:right w:w="110" w:type="dxa"/>
            </w:tcMar>
            <w:vAlign w:val="center"/>
          </w:tcPr>
          <w:p w14:paraId="7914AABB" w14:textId="77777777" w:rsidR="003E57C2" w:rsidRDefault="00191E0C">
            <w:pPr>
              <w:spacing w:after="0"/>
              <w:jc w:val="center"/>
              <w:rPr>
                <w:rFonts w:hint="eastAsia"/>
              </w:rPr>
            </w:pPr>
            <w:r>
              <w:rPr>
                <w:b/>
                <w:color w:val="107C41"/>
                <w:sz w:val="17"/>
              </w:rPr>
              <w:t>PASS</w:t>
            </w:r>
          </w:p>
        </w:tc>
        <w:tc>
          <w:tcPr>
            <w:tcW w:w="4601" w:type="dxa"/>
            <w:shd w:val="clear" w:color="auto" w:fill="F7F9FC"/>
            <w:tcMar>
              <w:top w:w="110" w:type="dxa"/>
              <w:left w:w="110" w:type="dxa"/>
              <w:bottom w:w="110" w:type="dxa"/>
              <w:right w:w="110" w:type="dxa"/>
            </w:tcMar>
            <w:vAlign w:val="center"/>
          </w:tcPr>
          <w:p w14:paraId="28E6C4FE" w14:textId="77777777" w:rsidR="003E57C2" w:rsidRDefault="00191E0C">
            <w:pPr>
              <w:spacing w:after="0"/>
              <w:rPr>
                <w:rFonts w:hint="eastAsia"/>
              </w:rPr>
            </w:pPr>
            <w:r>
              <w:rPr>
                <w:color w:val="1F2937"/>
                <w:sz w:val="17"/>
              </w:rPr>
              <w:t>Torch profiling configuration was recognized and controlled start/stop completed.</w:t>
            </w:r>
          </w:p>
        </w:tc>
      </w:tr>
      <w:tr w:rsidR="003E57C2" w14:paraId="46A0CEDB" w14:textId="77777777" w:rsidTr="00706A98">
        <w:trPr>
          <w:trHeight w:val="351"/>
          <w:jc w:val="center"/>
        </w:trPr>
        <w:tc>
          <w:tcPr>
            <w:tcW w:w="2707" w:type="dxa"/>
            <w:shd w:val="clear" w:color="auto" w:fill="FFFFFF"/>
            <w:tcMar>
              <w:top w:w="110" w:type="dxa"/>
              <w:left w:w="110" w:type="dxa"/>
              <w:bottom w:w="110" w:type="dxa"/>
              <w:right w:w="110" w:type="dxa"/>
            </w:tcMar>
            <w:vAlign w:val="center"/>
          </w:tcPr>
          <w:p w14:paraId="3E5C07D1" w14:textId="77777777" w:rsidR="003E57C2" w:rsidRDefault="00191E0C">
            <w:pPr>
              <w:spacing w:after="0"/>
              <w:rPr>
                <w:rFonts w:hint="eastAsia"/>
              </w:rPr>
            </w:pPr>
            <w:r>
              <w:rPr>
                <w:color w:val="1F2937"/>
                <w:sz w:val="17"/>
              </w:rPr>
              <w:t>Portable PyTorch traces</w:t>
            </w:r>
          </w:p>
        </w:tc>
        <w:tc>
          <w:tcPr>
            <w:tcW w:w="2707" w:type="dxa"/>
            <w:shd w:val="clear" w:color="auto" w:fill="FFFFFF"/>
            <w:tcMar>
              <w:top w:w="110" w:type="dxa"/>
              <w:left w:w="110" w:type="dxa"/>
              <w:bottom w:w="110" w:type="dxa"/>
              <w:right w:w="110" w:type="dxa"/>
            </w:tcMar>
            <w:vAlign w:val="center"/>
          </w:tcPr>
          <w:p w14:paraId="6BA4BDA8" w14:textId="77777777" w:rsidR="003E57C2" w:rsidRDefault="00191E0C">
            <w:pPr>
              <w:spacing w:after="0"/>
              <w:jc w:val="center"/>
              <w:rPr>
                <w:rFonts w:hint="eastAsia"/>
              </w:rPr>
            </w:pPr>
            <w:r>
              <w:rPr>
                <w:b/>
                <w:color w:val="107C41"/>
                <w:sz w:val="17"/>
              </w:rPr>
              <w:t>PASS</w:t>
            </w:r>
          </w:p>
        </w:tc>
        <w:tc>
          <w:tcPr>
            <w:tcW w:w="4601" w:type="dxa"/>
            <w:shd w:val="clear" w:color="auto" w:fill="FFFFFF"/>
            <w:tcMar>
              <w:top w:w="110" w:type="dxa"/>
              <w:left w:w="110" w:type="dxa"/>
              <w:bottom w:w="110" w:type="dxa"/>
              <w:right w:w="110" w:type="dxa"/>
            </w:tcMar>
            <w:vAlign w:val="center"/>
          </w:tcPr>
          <w:p w14:paraId="2A0CC2FB" w14:textId="77777777" w:rsidR="003E57C2" w:rsidRDefault="00191E0C">
            <w:pPr>
              <w:spacing w:after="0"/>
              <w:rPr>
                <w:rFonts w:hint="eastAsia"/>
              </w:rPr>
            </w:pPr>
            <w:r>
              <w:rPr>
                <w:color w:val="1F2937"/>
                <w:sz w:val="17"/>
              </w:rPr>
              <w:t>Worker and AsyncLLM compressed traces were generated and opened in Perfetto.</w:t>
            </w:r>
          </w:p>
        </w:tc>
      </w:tr>
    </w:tbl>
    <w:p w14:paraId="222C7FD4" w14:textId="77777777" w:rsidR="003E57C2" w:rsidRDefault="00191E0C">
      <w:pPr>
        <w:pStyle w:val="Heading1"/>
      </w:pPr>
      <w:r>
        <w:lastRenderedPageBreak/>
        <w:t xml:space="preserve">4. </w:t>
      </w:r>
      <w:r>
        <w:t>What was learned from the smoke tests</w:t>
      </w:r>
    </w:p>
    <w:p w14:paraId="20309A72" w14:textId="77777777" w:rsidR="003E57C2" w:rsidRDefault="00191E0C">
      <w:pPr>
        <w:pStyle w:val="Heading2"/>
      </w:pPr>
      <w:r>
        <w:t>4.1 Explicit thinking activation was necessary</w:t>
      </w:r>
    </w:p>
    <w:p w14:paraId="03A1C443" w14:textId="77777777" w:rsidR="003E57C2" w:rsidRDefault="00191E0C">
      <w:pPr>
        <w:rPr>
          <w:rFonts w:hint="eastAsia"/>
        </w:rPr>
      </w:pPr>
      <w:r>
        <w:t>The initial request streamed reasoning-like text through delta.content. Adding chat_template_kwargs.enable_thinking=true to Protocol v1.2 produced the intended split: inte</w:t>
      </w:r>
      <w:r>
        <w:t>rnal reasoning in delta.reasoning and the strict final response in delta.content. The client then populated both first_reasoning_ns and first_final_answer_ns and marked the phase mapping valid.</w:t>
      </w:r>
    </w:p>
    <w:p w14:paraId="6FF2DE55" w14:textId="77777777" w:rsidR="003E57C2" w:rsidRDefault="00191E0C">
      <w:pPr>
        <w:pStyle w:val="Heading2"/>
      </w:pPr>
      <w:r>
        <w:t>4.2 Client timestamps and NVTX serve different roles</w:t>
      </w:r>
    </w:p>
    <w:p w14:paraId="53485239" w14:textId="77777777" w:rsidR="003E57C2" w:rsidRDefault="00191E0C">
      <w:pPr>
        <w:rPr>
          <w:rFonts w:hint="eastAsia"/>
        </w:rPr>
      </w:pPr>
      <w:r>
        <w:t>time.perf</w:t>
      </w:r>
      <w:r>
        <w:t>_counter_ns() preserves high-resolution client-observed timing in raw and summary artifacts. NVTX emits named phase boundaries into Nsight Systems. The point markers RUN_START, FIRST_OUTPUT, FIRST_REASONING, FIRST_FINAL or FIRST_TOOL_CALL, and RUN_END enab</w:t>
      </w:r>
      <w:r>
        <w:t>le visual alignment on the common Nsight time axis.</w:t>
      </w:r>
    </w:p>
    <w:p w14:paraId="18872B8D" w14:textId="77777777" w:rsidR="003E57C2" w:rsidRDefault="00191E0C">
      <w:pPr>
        <w:rPr>
          <w:rFonts w:hint="eastAsia"/>
        </w:rPr>
      </w:pPr>
      <w:r>
        <w:t>The scientific interpretation remains temporal phase attribution. GPU activities between semantic markers are described as phase-associated, not intrinsically reasoning-specific or token-specific.</w:t>
      </w:r>
    </w:p>
    <w:p w14:paraId="149E87B5" w14:textId="77777777" w:rsidR="003E57C2" w:rsidRDefault="00191E0C">
      <w:pPr>
        <w:pStyle w:val="Heading2"/>
      </w:pPr>
      <w:r>
        <w:t>4.3 Exi</w:t>
      </w:r>
      <w:r>
        <w:t>sting CUDA processes cannot be profiled retroactively</w:t>
      </w:r>
    </w:p>
    <w:p w14:paraId="20C8E92C" w14:textId="77777777" w:rsidR="003E57C2" w:rsidRDefault="00191E0C">
      <w:pPr>
        <w:rPr>
          <w:rFonts w:hint="eastAsia"/>
        </w:rPr>
      </w:pPr>
      <w:r>
        <w:t>A client-only Nsight launch captured NVTX successfully but could not capture the already-running systemd-managed EngineCore CUDA stream. The final wrapper therefore stops existing GPU-backed vLLM servic</w:t>
      </w:r>
      <w:r>
        <w:t>es and starts a temporary controlled vLLM instance and the client beneath one nsys profile process tree.</w:t>
      </w:r>
    </w:p>
    <w:p w14:paraId="56A5FC39" w14:textId="77777777" w:rsidR="003E57C2" w:rsidRDefault="00191E0C">
      <w:pPr>
        <w:pStyle w:val="Heading2"/>
      </w:pPr>
      <w:r>
        <w:t>4.4 Full GPU isolation includes embedding and reranking</w:t>
      </w:r>
    </w:p>
    <w:p w14:paraId="38C9FC3C" w14:textId="77777777" w:rsidR="003E57C2" w:rsidRDefault="00191E0C">
      <w:pPr>
        <w:rPr>
          <w:rFonts w:hint="eastAsia"/>
        </w:rPr>
      </w:pPr>
      <w:r>
        <w:t>The first process-isolation check correctly detected the embedding model and cross-encoder/rera</w:t>
      </w:r>
      <w:r>
        <w:t>nker EngineCore processes. These services must also be stopped for selected Nsight captures; otherwise unrelated CUDA kernels would contaminate the report. Production restoration remains manual after profile collection.</w:t>
      </w:r>
    </w:p>
    <w:p w14:paraId="37DE685B" w14:textId="77777777" w:rsidR="003E57C2" w:rsidRDefault="00191E0C">
      <w:pPr>
        <w:pStyle w:val="Heading2"/>
      </w:pPr>
      <w:r>
        <w:t>4.5 Environment inheritance matters</w:t>
      </w:r>
    </w:p>
    <w:p w14:paraId="6A564DBD" w14:textId="77777777" w:rsidR="003E57C2" w:rsidRDefault="00191E0C">
      <w:pPr>
        <w:rPr>
          <w:rFonts w:hint="eastAsia"/>
        </w:rPr>
      </w:pPr>
      <w:r>
        <w:t xml:space="preserve">The first combined launch failed because the elevated Nsight environment exposed HOME=/root while the model process lacked permission to create FlashInfer cache content there. Explicitly setting HOME and cache locations to /home/cbotadmin resolved startup </w:t>
      </w:r>
      <w:r>
        <w:t>without reintroducing runuser.</w:t>
      </w:r>
    </w:p>
    <w:p w14:paraId="0BF12DF8" w14:textId="77777777" w:rsidR="003E57C2" w:rsidRDefault="00191E0C">
      <w:pPr>
        <w:pStyle w:val="Heading1"/>
      </w:pPr>
      <w:r>
        <w:t>5. Validated Nsight Systems workflow</w:t>
      </w:r>
    </w:p>
    <w:p w14:paraId="3E7D428F" w14:textId="77777777" w:rsidR="003E57C2" w:rsidRDefault="00191E0C">
      <w:pPr>
        <w:pStyle w:val="CodeBlock"/>
        <w:keepLines/>
        <w:rPr>
          <w:rFonts w:hint="eastAsia"/>
        </w:rPr>
      </w:pPr>
      <w:r>
        <w:t>run_nsys_profile_w_cuda.sh</w:t>
      </w:r>
      <w:r>
        <w:br/>
        <w:t xml:space="preserve">  -&gt; stop all GPU-backed vLLM services</w:t>
      </w:r>
      <w:r>
        <w:br/>
        <w:t xml:space="preserve">  -&gt; verify no EngineCore, port 8000 free, GPU memory released, RAM available</w:t>
      </w:r>
      <w:r>
        <w:br/>
        <w:t xml:space="preserve">  -&gt; nsys profile --trace=cuda,nvtx,osrt</w:t>
      </w:r>
      <w:r>
        <w:br/>
        <w:t xml:space="preserve">  -</w:t>
      </w:r>
      <w:r>
        <w:t>&gt; launch temporary controlled vLLM in the profiled process tree</w:t>
      </w:r>
      <w:r>
        <w:br/>
        <w:t xml:space="preserve">  -&gt; wait for health and runtime settling</w:t>
      </w:r>
      <w:r>
        <w:br/>
        <w:t xml:space="preserve">  -&gt; execute three workload-matched warm-ups</w:t>
      </w:r>
      <w:r>
        <w:br/>
        <w:t xml:space="preserve">  -&gt; run gpu_prof_client.py --run-type profile</w:t>
      </w:r>
      <w:r>
        <w:br/>
        <w:t xml:space="preserve">  -&gt; emit target semantic NVTX markers</w:t>
      </w:r>
      <w:r>
        <w:br/>
        <w:t xml:space="preserve">  -&gt; validate phase</w:t>
      </w:r>
      <w:r>
        <w:t xml:space="preserve"> mapping and output</w:t>
      </w:r>
      <w:r>
        <w:br/>
        <w:t xml:space="preserve">  -&gt; stop temporary vLLM</w:t>
      </w:r>
      <w:r>
        <w:br/>
        <w:t xml:space="preserve">  -&gt; finalize portable .nsys-rep</w:t>
      </w:r>
      <w:r>
        <w:br/>
        <w:t xml:space="preserve">  -&gt; restore production services manually</w:t>
      </w:r>
    </w:p>
    <w:p w14:paraId="666F3C04" w14:textId="77777777" w:rsidR="003E57C2" w:rsidRDefault="00191E0C">
      <w:pPr>
        <w:rPr>
          <w:rFonts w:hint="eastAsia"/>
        </w:rPr>
      </w:pPr>
      <w:r>
        <w:t>The successful report showed one EngineCore with CUDA API and hardware tracks, target-client NVTX events, and searchable kernel activity</w:t>
      </w:r>
      <w:r>
        <w:t>. A fused BF16 CUTLASS attention kernel was identified directly in the timeline, demonstrating model execution below the PyTorch/vLLM abstraction boundary.</w:t>
      </w:r>
    </w:p>
    <w:p w14:paraId="545E5E03" w14:textId="77777777" w:rsidR="003E57C2" w:rsidRDefault="00191E0C">
      <w:pPr>
        <w:pStyle w:val="Heading1"/>
      </w:pPr>
      <w:r>
        <w:t>6. Validated PyTorch Profiler workflow</w:t>
      </w:r>
    </w:p>
    <w:p w14:paraId="43497CE5" w14:textId="77777777" w:rsidR="003E57C2" w:rsidRDefault="00191E0C">
      <w:pPr>
        <w:rPr>
          <w:rFonts w:hint="eastAsia"/>
        </w:rPr>
      </w:pPr>
      <w:r>
        <w:t>Two dedicated profiler service definitions were prepared: tor</w:t>
      </w:r>
      <w:r>
        <w:t>chprof-gemma4vllm.service and torchprof-gemma4vllm-mtp.service. They preserve the controlled serving configuration and add a PyTorch profiler configuration with absolute normal or MTP trace directories, shape recording, stack recording, gzip output, and me</w:t>
      </w:r>
      <w:r>
        <w:t>mory/FLOP recording disabled for the initial supporting trace.</w:t>
      </w:r>
    </w:p>
    <w:p w14:paraId="754934EE" w14:textId="77777777" w:rsidR="003E57C2" w:rsidRDefault="00191E0C">
      <w:pPr>
        <w:pStyle w:val="CodeBlock"/>
        <w:keepLines/>
        <w:rPr>
          <w:rFonts w:hint="eastAsia"/>
        </w:rPr>
      </w:pPr>
      <w:r>
        <w:lastRenderedPageBreak/>
        <w:t>POST /start_profile</w:t>
      </w:r>
      <w:r>
        <w:br/>
        <w:t xml:space="preserve">  -&gt; run gpu_prof_client.py with the frozen workload</w:t>
      </w:r>
      <w:r>
        <w:br/>
        <w:t xml:space="preserve">  -&gt; POST /stop_profile</w:t>
      </w:r>
      <w:r>
        <w:br/>
        <w:t xml:space="preserve">  -&gt; wait for trace flush</w:t>
      </w:r>
      <w:r>
        <w:br/>
        <w:t xml:space="preserve">  -&gt; transfer *.pt.trace.json.gz to WSL</w:t>
      </w:r>
      <w:r>
        <w:br/>
        <w:t xml:space="preserve">  -&gt; open directly in https://</w:t>
      </w:r>
      <w:r>
        <w:t>ui.perfetto.dev</w:t>
      </w:r>
    </w:p>
    <w:p w14:paraId="14808334" w14:textId="77777777" w:rsidR="003E57C2" w:rsidRDefault="00191E0C">
      <w:pPr>
        <w:rPr>
          <w:rFonts w:hint="eastAsia"/>
        </w:rPr>
      </w:pPr>
      <w:r>
        <w:t>The normal smoke test generated a rank0 worker trace, an AsyncLLM frontend trace, and profiler_out_0.txt. The rank0 trace displayed the vLLM EngineCore call hierarchy and GPU streams, including repeated Marlin kernel execution. The frontend</w:t>
      </w:r>
      <w:r>
        <w:t xml:space="preserve"> trace provides higher-level asynchronous request and scheduling context.</w:t>
      </w:r>
    </w:p>
    <w:p w14:paraId="2136155E" w14:textId="77777777" w:rsidR="003E57C2" w:rsidRDefault="00191E0C">
      <w:pPr>
        <w:rPr>
          <w:rFonts w:hint="eastAsia"/>
        </w:rPr>
      </w:pPr>
      <w:r>
        <w:t>The client marked benchmark_valid false during profiler captures because the directly profiled or Torch-profiler service differs from the clean service named in the protocol. This is</w:t>
      </w:r>
      <w:r>
        <w:t xml:space="preserve"> expected and harmless: profiler-run timings are diagnostic only, while phase_mapping_valid and output_valid must pass. Clean quantitative results remain isolated in benchmark mode.</w:t>
      </w:r>
    </w:p>
    <w:p w14:paraId="32DE88D2" w14:textId="77777777" w:rsidR="003E57C2" w:rsidRDefault="00191E0C">
      <w:pPr>
        <w:pStyle w:val="Heading1"/>
      </w:pPr>
      <w:r>
        <w:t>7. Final tool roles</w:t>
      </w:r>
    </w:p>
    <w:tbl>
      <w:tblPr>
        <w:tblW w:w="0" w:type="auto"/>
        <w:jc w:val="center"/>
        <w:tblLayout w:type="fixed"/>
        <w:tblLook w:val="04A0" w:firstRow="1" w:lastRow="0" w:firstColumn="1" w:lastColumn="0" w:noHBand="0" w:noVBand="1"/>
      </w:tblPr>
      <w:tblGrid>
        <w:gridCol w:w="2755"/>
        <w:gridCol w:w="2755"/>
        <w:gridCol w:w="4683"/>
      </w:tblGrid>
      <w:tr w:rsidR="003E57C2" w14:paraId="3802C507" w14:textId="77777777" w:rsidTr="00706A98">
        <w:trPr>
          <w:trHeight w:val="197"/>
          <w:jc w:val="center"/>
        </w:trPr>
        <w:tc>
          <w:tcPr>
            <w:tcW w:w="2755" w:type="dxa"/>
            <w:shd w:val="clear" w:color="auto" w:fill="17365D"/>
            <w:tcMar>
              <w:top w:w="110" w:type="dxa"/>
              <w:left w:w="110" w:type="dxa"/>
              <w:bottom w:w="110" w:type="dxa"/>
              <w:right w:w="110" w:type="dxa"/>
            </w:tcMar>
            <w:vAlign w:val="center"/>
          </w:tcPr>
          <w:p w14:paraId="1E33B9AE" w14:textId="77777777" w:rsidR="003E57C2" w:rsidRDefault="00191E0C">
            <w:pPr>
              <w:spacing w:after="0"/>
              <w:rPr>
                <w:rFonts w:hint="eastAsia"/>
              </w:rPr>
            </w:pPr>
            <w:r>
              <w:rPr>
                <w:b/>
                <w:color w:val="FFFFFF"/>
                <w:sz w:val="18"/>
              </w:rPr>
              <w:t>Evidence layer</w:t>
            </w:r>
          </w:p>
        </w:tc>
        <w:tc>
          <w:tcPr>
            <w:tcW w:w="2755" w:type="dxa"/>
            <w:shd w:val="clear" w:color="auto" w:fill="17365D"/>
            <w:tcMar>
              <w:top w:w="110" w:type="dxa"/>
              <w:left w:w="110" w:type="dxa"/>
              <w:bottom w:w="110" w:type="dxa"/>
              <w:right w:w="110" w:type="dxa"/>
            </w:tcMar>
            <w:vAlign w:val="center"/>
          </w:tcPr>
          <w:p w14:paraId="41671670" w14:textId="77777777" w:rsidR="003E57C2" w:rsidRDefault="00191E0C">
            <w:pPr>
              <w:spacing w:after="0"/>
              <w:jc w:val="center"/>
              <w:rPr>
                <w:rFonts w:hint="eastAsia"/>
              </w:rPr>
            </w:pPr>
            <w:r>
              <w:rPr>
                <w:b/>
                <w:color w:val="FFFFFF"/>
                <w:sz w:val="18"/>
              </w:rPr>
              <w:t>Status</w:t>
            </w:r>
          </w:p>
        </w:tc>
        <w:tc>
          <w:tcPr>
            <w:tcW w:w="4683" w:type="dxa"/>
            <w:shd w:val="clear" w:color="auto" w:fill="17365D"/>
            <w:tcMar>
              <w:top w:w="110" w:type="dxa"/>
              <w:left w:w="110" w:type="dxa"/>
              <w:bottom w:w="110" w:type="dxa"/>
              <w:right w:w="110" w:type="dxa"/>
            </w:tcMar>
            <w:vAlign w:val="center"/>
          </w:tcPr>
          <w:p w14:paraId="2AD49271" w14:textId="77777777" w:rsidR="003E57C2" w:rsidRDefault="00191E0C">
            <w:pPr>
              <w:spacing w:after="0"/>
              <w:rPr>
                <w:rFonts w:hint="eastAsia"/>
              </w:rPr>
            </w:pPr>
            <w:r>
              <w:rPr>
                <w:b/>
                <w:color w:val="FFFFFF"/>
                <w:sz w:val="18"/>
              </w:rPr>
              <w:t>Role in study</w:t>
            </w:r>
          </w:p>
        </w:tc>
      </w:tr>
      <w:tr w:rsidR="003E57C2" w14:paraId="61C09393" w14:textId="77777777" w:rsidTr="00706A98">
        <w:trPr>
          <w:trHeight w:val="357"/>
          <w:jc w:val="center"/>
        </w:trPr>
        <w:tc>
          <w:tcPr>
            <w:tcW w:w="2755" w:type="dxa"/>
            <w:shd w:val="clear" w:color="auto" w:fill="F7F9FC"/>
            <w:tcMar>
              <w:top w:w="110" w:type="dxa"/>
              <w:left w:w="110" w:type="dxa"/>
              <w:bottom w:w="110" w:type="dxa"/>
              <w:right w:w="110" w:type="dxa"/>
            </w:tcMar>
            <w:vAlign w:val="center"/>
          </w:tcPr>
          <w:p w14:paraId="5D4D7E6C" w14:textId="77777777" w:rsidR="003E57C2" w:rsidRDefault="00191E0C">
            <w:pPr>
              <w:spacing w:after="0"/>
              <w:rPr>
                <w:rFonts w:hint="eastAsia"/>
              </w:rPr>
            </w:pPr>
            <w:r>
              <w:rPr>
                <w:color w:val="1F2937"/>
                <w:sz w:val="17"/>
              </w:rPr>
              <w:t xml:space="preserve">Clean client </w:t>
            </w:r>
            <w:r>
              <w:rPr>
                <w:color w:val="1F2937"/>
                <w:sz w:val="17"/>
              </w:rPr>
              <w:t>benchmark</w:t>
            </w:r>
          </w:p>
        </w:tc>
        <w:tc>
          <w:tcPr>
            <w:tcW w:w="2755" w:type="dxa"/>
            <w:shd w:val="clear" w:color="auto" w:fill="F7F9FC"/>
            <w:tcMar>
              <w:top w:w="110" w:type="dxa"/>
              <w:left w:w="110" w:type="dxa"/>
              <w:bottom w:w="110" w:type="dxa"/>
              <w:right w:w="110" w:type="dxa"/>
            </w:tcMar>
            <w:vAlign w:val="center"/>
          </w:tcPr>
          <w:p w14:paraId="00F7F01F" w14:textId="77777777" w:rsidR="003E57C2" w:rsidRDefault="00191E0C">
            <w:pPr>
              <w:spacing w:after="0"/>
              <w:jc w:val="center"/>
              <w:rPr>
                <w:rFonts w:hint="eastAsia"/>
              </w:rPr>
            </w:pPr>
            <w:r>
              <w:rPr>
                <w:b/>
                <w:color w:val="107C41"/>
                <w:sz w:val="17"/>
              </w:rPr>
              <w:t>READY</w:t>
            </w:r>
          </w:p>
        </w:tc>
        <w:tc>
          <w:tcPr>
            <w:tcW w:w="4683" w:type="dxa"/>
            <w:shd w:val="clear" w:color="auto" w:fill="F7F9FC"/>
            <w:tcMar>
              <w:top w:w="110" w:type="dxa"/>
              <w:left w:w="110" w:type="dxa"/>
              <w:bottom w:w="110" w:type="dxa"/>
              <w:right w:w="110" w:type="dxa"/>
            </w:tcMar>
            <w:vAlign w:val="center"/>
          </w:tcPr>
          <w:p w14:paraId="42C3848B" w14:textId="77777777" w:rsidR="003E57C2" w:rsidRDefault="00191E0C">
            <w:pPr>
              <w:spacing w:after="0"/>
              <w:rPr>
                <w:rFonts w:hint="eastAsia"/>
              </w:rPr>
            </w:pPr>
            <w:r>
              <w:rPr>
                <w:color w:val="1F2937"/>
                <w:sz w:val="17"/>
              </w:rPr>
              <w:t>Primary quantitative TTFT, phase durations, E2E latency, token counts, and output rate.</w:t>
            </w:r>
          </w:p>
        </w:tc>
      </w:tr>
      <w:tr w:rsidR="003E57C2" w14:paraId="547FA43D" w14:textId="77777777" w:rsidTr="00706A98">
        <w:trPr>
          <w:trHeight w:val="369"/>
          <w:jc w:val="center"/>
        </w:trPr>
        <w:tc>
          <w:tcPr>
            <w:tcW w:w="2755" w:type="dxa"/>
            <w:shd w:val="clear" w:color="auto" w:fill="FFFFFF"/>
            <w:tcMar>
              <w:top w:w="110" w:type="dxa"/>
              <w:left w:w="110" w:type="dxa"/>
              <w:bottom w:w="110" w:type="dxa"/>
              <w:right w:w="110" w:type="dxa"/>
            </w:tcMar>
            <w:vAlign w:val="center"/>
          </w:tcPr>
          <w:p w14:paraId="33EA53DB" w14:textId="77777777" w:rsidR="003E57C2" w:rsidRDefault="00191E0C">
            <w:pPr>
              <w:spacing w:after="0"/>
              <w:rPr>
                <w:rFonts w:hint="eastAsia"/>
              </w:rPr>
            </w:pPr>
            <w:r>
              <w:rPr>
                <w:color w:val="1F2937"/>
                <w:sz w:val="17"/>
              </w:rPr>
              <w:t>Nsight Systems</w:t>
            </w:r>
          </w:p>
        </w:tc>
        <w:tc>
          <w:tcPr>
            <w:tcW w:w="2755" w:type="dxa"/>
            <w:shd w:val="clear" w:color="auto" w:fill="FFFFFF"/>
            <w:tcMar>
              <w:top w:w="110" w:type="dxa"/>
              <w:left w:w="110" w:type="dxa"/>
              <w:bottom w:w="110" w:type="dxa"/>
              <w:right w:w="110" w:type="dxa"/>
            </w:tcMar>
            <w:vAlign w:val="center"/>
          </w:tcPr>
          <w:p w14:paraId="3F9FD026" w14:textId="77777777" w:rsidR="003E57C2" w:rsidRDefault="00191E0C">
            <w:pPr>
              <w:spacing w:after="0"/>
              <w:jc w:val="center"/>
              <w:rPr>
                <w:rFonts w:hint="eastAsia"/>
              </w:rPr>
            </w:pPr>
            <w:r>
              <w:rPr>
                <w:b/>
                <w:color w:val="107C41"/>
                <w:sz w:val="17"/>
              </w:rPr>
              <w:t>READY</w:t>
            </w:r>
          </w:p>
        </w:tc>
        <w:tc>
          <w:tcPr>
            <w:tcW w:w="4683" w:type="dxa"/>
            <w:shd w:val="clear" w:color="auto" w:fill="FFFFFF"/>
            <w:tcMar>
              <w:top w:w="110" w:type="dxa"/>
              <w:left w:w="110" w:type="dxa"/>
              <w:bottom w:w="110" w:type="dxa"/>
              <w:right w:w="110" w:type="dxa"/>
            </w:tcMar>
            <w:vAlign w:val="center"/>
          </w:tcPr>
          <w:p w14:paraId="7101289B" w14:textId="77777777" w:rsidR="003E57C2" w:rsidRDefault="00191E0C">
            <w:pPr>
              <w:spacing w:after="0"/>
              <w:rPr>
                <w:rFonts w:hint="eastAsia"/>
              </w:rPr>
            </w:pPr>
            <w:r>
              <w:rPr>
                <w:color w:val="1F2937"/>
                <w:sz w:val="17"/>
              </w:rPr>
              <w:t>Primary profiler for the paper: cross-process CUDA timeline and semantic phase attribution.</w:t>
            </w:r>
          </w:p>
        </w:tc>
      </w:tr>
      <w:tr w:rsidR="003E57C2" w14:paraId="6B3D3FC6" w14:textId="77777777" w:rsidTr="00706A98">
        <w:trPr>
          <w:trHeight w:val="357"/>
          <w:jc w:val="center"/>
        </w:trPr>
        <w:tc>
          <w:tcPr>
            <w:tcW w:w="2755" w:type="dxa"/>
            <w:shd w:val="clear" w:color="auto" w:fill="F7F9FC"/>
            <w:tcMar>
              <w:top w:w="110" w:type="dxa"/>
              <w:left w:w="110" w:type="dxa"/>
              <w:bottom w:w="110" w:type="dxa"/>
              <w:right w:w="110" w:type="dxa"/>
            </w:tcMar>
            <w:vAlign w:val="center"/>
          </w:tcPr>
          <w:p w14:paraId="3FCCA196" w14:textId="77777777" w:rsidR="003E57C2" w:rsidRDefault="00191E0C">
            <w:pPr>
              <w:spacing w:after="0"/>
              <w:rPr>
                <w:rFonts w:hint="eastAsia"/>
              </w:rPr>
            </w:pPr>
            <w:r>
              <w:rPr>
                <w:color w:val="1F2937"/>
                <w:sz w:val="17"/>
              </w:rPr>
              <w:t>PyTorch Profiler</w:t>
            </w:r>
          </w:p>
        </w:tc>
        <w:tc>
          <w:tcPr>
            <w:tcW w:w="2755" w:type="dxa"/>
            <w:shd w:val="clear" w:color="auto" w:fill="F7F9FC"/>
            <w:tcMar>
              <w:top w:w="110" w:type="dxa"/>
              <w:left w:w="110" w:type="dxa"/>
              <w:bottom w:w="110" w:type="dxa"/>
              <w:right w:w="110" w:type="dxa"/>
            </w:tcMar>
            <w:vAlign w:val="center"/>
          </w:tcPr>
          <w:p w14:paraId="285FC0C6" w14:textId="77777777" w:rsidR="003E57C2" w:rsidRDefault="00191E0C">
            <w:pPr>
              <w:spacing w:after="0"/>
              <w:jc w:val="center"/>
              <w:rPr>
                <w:rFonts w:hint="eastAsia"/>
              </w:rPr>
            </w:pPr>
            <w:r>
              <w:rPr>
                <w:b/>
                <w:color w:val="107C41"/>
                <w:sz w:val="17"/>
              </w:rPr>
              <w:t>READY</w:t>
            </w:r>
          </w:p>
        </w:tc>
        <w:tc>
          <w:tcPr>
            <w:tcW w:w="4683" w:type="dxa"/>
            <w:shd w:val="clear" w:color="auto" w:fill="F7F9FC"/>
            <w:tcMar>
              <w:top w:w="110" w:type="dxa"/>
              <w:left w:w="110" w:type="dxa"/>
              <w:bottom w:w="110" w:type="dxa"/>
              <w:right w:w="110" w:type="dxa"/>
            </w:tcMar>
            <w:vAlign w:val="center"/>
          </w:tcPr>
          <w:p w14:paraId="7C733821" w14:textId="77777777" w:rsidR="003E57C2" w:rsidRDefault="00191E0C">
            <w:pPr>
              <w:spacing w:after="0"/>
              <w:rPr>
                <w:rFonts w:hint="eastAsia"/>
              </w:rPr>
            </w:pPr>
            <w:r>
              <w:rPr>
                <w:color w:val="1F2937"/>
                <w:sz w:val="17"/>
              </w:rPr>
              <w:t xml:space="preserve">Supporting </w:t>
            </w:r>
            <w:r>
              <w:rPr>
                <w:color w:val="1F2937"/>
                <w:sz w:val="17"/>
              </w:rPr>
              <w:t>operator hierarchy, stack, shape, EngineCore iteration, and CUDA association view.</w:t>
            </w:r>
          </w:p>
        </w:tc>
      </w:tr>
      <w:tr w:rsidR="003E57C2" w14:paraId="21C9114E" w14:textId="77777777" w:rsidTr="00706A98">
        <w:trPr>
          <w:trHeight w:val="357"/>
          <w:jc w:val="center"/>
        </w:trPr>
        <w:tc>
          <w:tcPr>
            <w:tcW w:w="2755" w:type="dxa"/>
            <w:shd w:val="clear" w:color="auto" w:fill="FFFFFF"/>
            <w:tcMar>
              <w:top w:w="110" w:type="dxa"/>
              <w:left w:w="110" w:type="dxa"/>
              <w:bottom w:w="110" w:type="dxa"/>
              <w:right w:w="110" w:type="dxa"/>
            </w:tcMar>
            <w:vAlign w:val="center"/>
          </w:tcPr>
          <w:p w14:paraId="27C47D73" w14:textId="77777777" w:rsidR="003E57C2" w:rsidRDefault="00191E0C">
            <w:pPr>
              <w:spacing w:after="0"/>
              <w:rPr>
                <w:rFonts w:hint="eastAsia"/>
              </w:rPr>
            </w:pPr>
            <w:r>
              <w:rPr>
                <w:color w:val="1F2937"/>
                <w:sz w:val="17"/>
              </w:rPr>
              <w:t>Nsight Compute</w:t>
            </w:r>
          </w:p>
        </w:tc>
        <w:tc>
          <w:tcPr>
            <w:tcW w:w="2755" w:type="dxa"/>
            <w:shd w:val="clear" w:color="auto" w:fill="FFFFFF"/>
            <w:tcMar>
              <w:top w:w="110" w:type="dxa"/>
              <w:left w:w="110" w:type="dxa"/>
              <w:bottom w:w="110" w:type="dxa"/>
              <w:right w:w="110" w:type="dxa"/>
            </w:tcMar>
            <w:vAlign w:val="center"/>
          </w:tcPr>
          <w:p w14:paraId="380D7B9F" w14:textId="77777777" w:rsidR="003E57C2" w:rsidRDefault="00191E0C">
            <w:pPr>
              <w:spacing w:after="0"/>
              <w:jc w:val="center"/>
              <w:rPr>
                <w:rFonts w:hint="eastAsia"/>
              </w:rPr>
            </w:pPr>
            <w:r>
              <w:rPr>
                <w:b/>
                <w:color w:val="B54708"/>
                <w:sz w:val="17"/>
              </w:rPr>
              <w:t>DEFERRED</w:t>
            </w:r>
          </w:p>
        </w:tc>
        <w:tc>
          <w:tcPr>
            <w:tcW w:w="4683" w:type="dxa"/>
            <w:shd w:val="clear" w:color="auto" w:fill="FFFFFF"/>
            <w:tcMar>
              <w:top w:w="110" w:type="dxa"/>
              <w:left w:w="110" w:type="dxa"/>
              <w:bottom w:w="110" w:type="dxa"/>
              <w:right w:w="110" w:type="dxa"/>
            </w:tcMar>
            <w:vAlign w:val="center"/>
          </w:tcPr>
          <w:p w14:paraId="784C4A3D" w14:textId="77777777" w:rsidR="003E57C2" w:rsidRDefault="00191E0C">
            <w:pPr>
              <w:spacing w:after="0"/>
              <w:rPr>
                <w:rFonts w:hint="eastAsia"/>
              </w:rPr>
            </w:pPr>
            <w:r>
              <w:rPr>
                <w:color w:val="1F2937"/>
                <w:sz w:val="17"/>
              </w:rPr>
              <w:t>Use only if Nsight Systems identifies a kernel requiring hardware-counter analysis.</w:t>
            </w:r>
          </w:p>
        </w:tc>
      </w:tr>
    </w:tbl>
    <w:p w14:paraId="39A99CA7" w14:textId="77777777" w:rsidR="003E57C2" w:rsidRDefault="00191E0C">
      <w:pPr>
        <w:pStyle w:val="Heading1"/>
      </w:pPr>
      <w:r>
        <w:t>8. Experiment admission decision</w:t>
      </w:r>
    </w:p>
    <w:tbl>
      <w:tblPr>
        <w:tblW w:w="0" w:type="auto"/>
        <w:tblLook w:val="04A0" w:firstRow="1" w:lastRow="0" w:firstColumn="1" w:lastColumn="0" w:noHBand="0" w:noVBand="1"/>
      </w:tblPr>
      <w:tblGrid>
        <w:gridCol w:w="10166"/>
      </w:tblGrid>
      <w:tr w:rsidR="003E57C2" w14:paraId="76862AE8" w14:textId="77777777">
        <w:tc>
          <w:tcPr>
            <w:tcW w:w="10166" w:type="dxa"/>
            <w:shd w:val="clear" w:color="auto" w:fill="E8F5ED"/>
            <w:tcMar>
              <w:top w:w="110" w:type="dxa"/>
              <w:left w:w="110" w:type="dxa"/>
              <w:bottom w:w="110" w:type="dxa"/>
              <w:right w:w="110" w:type="dxa"/>
            </w:tcMar>
            <w:vAlign w:val="center"/>
          </w:tcPr>
          <w:p w14:paraId="3AEB78CD" w14:textId="77777777" w:rsidR="003E57C2" w:rsidRDefault="00191E0C">
            <w:pPr>
              <w:spacing w:after="0"/>
              <w:rPr>
                <w:rFonts w:hint="eastAsia"/>
              </w:rPr>
            </w:pPr>
            <w:r>
              <w:rPr>
                <w:b/>
                <w:color w:val="107C41"/>
                <w:sz w:val="20"/>
              </w:rPr>
              <w:t xml:space="preserve">ADMITTED TO PILOT: The </w:t>
            </w:r>
            <w:r>
              <w:rPr>
                <w:b/>
                <w:color w:val="107C41"/>
                <w:sz w:val="20"/>
              </w:rPr>
              <w:t>platform has demonstrated correct request construction, semantic streaming, output validation, isolated benchmark recording, combined CUDA/NVTX tracing, portable Nsight visualization, PyTorch worker/frontend trace generation, and post-capture cleanup.</w:t>
            </w:r>
          </w:p>
        </w:tc>
      </w:tr>
    </w:tbl>
    <w:p w14:paraId="14290FB4" w14:textId="77777777" w:rsidR="003E57C2" w:rsidRDefault="00191E0C">
      <w:pPr>
        <w:rPr>
          <w:rFonts w:hint="eastAsia"/>
        </w:rPr>
      </w:pPr>
      <w:r>
        <w:t xml:space="preserve">No </w:t>
      </w:r>
      <w:r>
        <w:t>further smoke-test engineering is required before the pilot. Any subsequent change to the protocol, client timing semantics, deployment flags, workloads, or profiler orchestration must trigger a new version and targeted regression smoke test.</w:t>
      </w:r>
    </w:p>
    <w:p w14:paraId="064C24F7" w14:textId="77777777" w:rsidR="003E57C2" w:rsidRDefault="00191E0C">
      <w:pPr>
        <w:pStyle w:val="Heading1"/>
      </w:pPr>
      <w:r>
        <w:t>9. Next steps</w:t>
      </w:r>
      <w:r>
        <w:t>: controlled pilot experiment</w:t>
      </w:r>
    </w:p>
    <w:p w14:paraId="3232D087" w14:textId="77777777" w:rsidR="003E57C2" w:rsidRDefault="00191E0C">
      <w:pPr>
        <w:pStyle w:val="ListNumber"/>
        <w:rPr>
          <w:rFonts w:hint="eastAsia"/>
        </w:rPr>
      </w:pPr>
      <w:r>
        <w:t>Archive the completed smoke-test artifacts separately from experimental evidence.</w:t>
      </w:r>
    </w:p>
    <w:p w14:paraId="627698BE" w14:textId="77777777" w:rsidR="003E57C2" w:rsidRDefault="00191E0C">
      <w:pPr>
        <w:pStyle w:val="ListNumber"/>
        <w:rPr>
          <w:rFonts w:hint="eastAsia"/>
        </w:rPr>
      </w:pPr>
      <w:r>
        <w:t>Restore and verify all required production, embedding, reranking, and controlled services after profiling windows.</w:t>
      </w:r>
    </w:p>
    <w:p w14:paraId="7ACE98B9" w14:textId="77777777" w:rsidR="003E57C2" w:rsidRDefault="00191E0C">
      <w:pPr>
        <w:pStyle w:val="ListNumber"/>
        <w:rPr>
          <w:rFonts w:hint="eastAsia"/>
        </w:rPr>
      </w:pPr>
      <w:r>
        <w:t>Run the protocol-defined pilo</w:t>
      </w:r>
      <w:r>
        <w:t>t: two decoding modes, three workload classes, two prompts per class, and five valid clean repetitions per prompt-condition.</w:t>
      </w:r>
    </w:p>
    <w:p w14:paraId="62C5DA08" w14:textId="77777777" w:rsidR="003E57C2" w:rsidRDefault="00191E0C">
      <w:pPr>
        <w:pStyle w:val="ListNumber"/>
        <w:rPr>
          <w:rFonts w:hint="eastAsia"/>
        </w:rPr>
      </w:pPr>
      <w:r>
        <w:t>Warm each distinct condition according to the frozen protocol before admitting measurements.</w:t>
      </w:r>
    </w:p>
    <w:p w14:paraId="5B4A433D" w14:textId="77777777" w:rsidR="003E57C2" w:rsidRDefault="00191E0C">
      <w:pPr>
        <w:pStyle w:val="ListNumber"/>
        <w:rPr>
          <w:rFonts w:hint="eastAsia"/>
        </w:rPr>
      </w:pPr>
      <w:r>
        <w:t>Collect clean benchmark results withou</w:t>
      </w:r>
      <w:r>
        <w:t>t any profiler active.</w:t>
      </w:r>
    </w:p>
    <w:p w14:paraId="4B026F4C" w14:textId="77777777" w:rsidR="003E57C2" w:rsidRDefault="00191E0C">
      <w:pPr>
        <w:pStyle w:val="ListNumber"/>
        <w:rPr>
          <w:rFonts w:hint="eastAsia"/>
        </w:rPr>
      </w:pPr>
      <w:r>
        <w:t>Inspect pilot variance, completion-token distributions, parser reliability, output validity, and normal-versus-MTP trajectory comparability.</w:t>
      </w:r>
    </w:p>
    <w:p w14:paraId="3774A548" w14:textId="77777777" w:rsidR="003E57C2" w:rsidRDefault="00191E0C">
      <w:pPr>
        <w:pStyle w:val="ListNumber"/>
        <w:rPr>
          <w:rFonts w:hint="eastAsia"/>
        </w:rPr>
      </w:pPr>
      <w:r>
        <w:t xml:space="preserve">Collect a small set of representative Nsight Systems traces separately from benchmark runs, </w:t>
      </w:r>
      <w:r>
        <w:t>using the validated CUDA plus NVTX wrapper.</w:t>
      </w:r>
    </w:p>
    <w:p w14:paraId="10F57980" w14:textId="77777777" w:rsidR="003E57C2" w:rsidRDefault="00191E0C">
      <w:pPr>
        <w:pStyle w:val="ListNumber"/>
        <w:rPr>
          <w:rFonts w:hint="eastAsia"/>
        </w:rPr>
      </w:pPr>
      <w:r>
        <w:t>Collect selected normal and MTP PyTorch traces separately for higher-level explanatory evidence.</w:t>
      </w:r>
    </w:p>
    <w:p w14:paraId="3442DBC6" w14:textId="77777777" w:rsidR="003E57C2" w:rsidRDefault="00191E0C">
      <w:pPr>
        <w:pStyle w:val="ListNumber"/>
        <w:rPr>
          <w:rFonts w:hint="eastAsia"/>
        </w:rPr>
      </w:pPr>
      <w:r>
        <w:t>Freeze the final repetition count and begin the primary experiment only after pilot review.</w:t>
      </w:r>
    </w:p>
    <w:p w14:paraId="03F5FE38" w14:textId="77777777" w:rsidR="003E57C2" w:rsidRDefault="00191E0C">
      <w:pPr>
        <w:pStyle w:val="Heading1"/>
      </w:pPr>
      <w:r>
        <w:lastRenderedPageBreak/>
        <w:t xml:space="preserve">10. Pilot evidence </w:t>
      </w:r>
      <w:r>
        <w:t>boundary</w:t>
      </w:r>
    </w:p>
    <w:p w14:paraId="0F26622B" w14:textId="77777777" w:rsidR="003E57C2" w:rsidRDefault="00191E0C">
      <w:pPr>
        <w:rPr>
          <w:rFonts w:hint="eastAsia"/>
        </w:rPr>
      </w:pPr>
      <w:r>
        <w:t>The pilot begins the experimental phase, but pilot values should remain separately labeled until variance and validity criteria are reviewed. Benchmark timings gathered with Nsight Systems or PyTorch Profiler active must never enter results.csv as</w:t>
      </w:r>
      <w:r>
        <w:t xml:space="preserve"> primary performance evidence. Profiler captures explain execution behavior; clean client-only runs quantify performance.</w:t>
      </w:r>
    </w:p>
    <w:p w14:paraId="4E90CB76" w14:textId="77777777" w:rsidR="003E57C2" w:rsidRDefault="00191E0C">
      <w:pPr>
        <w:pStyle w:val="CodeBlock"/>
        <w:keepLines/>
        <w:rPr>
          <w:rFonts w:hint="eastAsia"/>
        </w:rPr>
      </w:pPr>
      <w:r>
        <w:t>Clean benchmark run  -&gt; quantitative evidence</w:t>
      </w:r>
      <w:r>
        <w:br/>
        <w:t>Nsight Systems run   -&gt; primary execution-timeline evidence</w:t>
      </w:r>
      <w:r>
        <w:br/>
        <w:t>PyTorch trace run    -&gt; supp</w:t>
      </w:r>
      <w:r>
        <w:t>orting operator-level evidence</w:t>
      </w:r>
      <w:r>
        <w:br/>
        <w:t>Nsight Compute       -&gt; optional focused kernel evidence</w:t>
      </w:r>
    </w:p>
    <w:p w14:paraId="23DA3E6B" w14:textId="77777777" w:rsidR="003E57C2" w:rsidRDefault="00191E0C">
      <w:pPr>
        <w:pStyle w:val="Heading1"/>
      </w:pPr>
      <w:r>
        <w:t>11. Checkpoint conclusion</w:t>
      </w:r>
    </w:p>
    <w:p w14:paraId="06994C77" w14:textId="77777777" w:rsidR="003E57C2" w:rsidRDefault="00191E0C">
      <w:pPr>
        <w:rPr>
          <w:rFonts w:hint="eastAsia"/>
        </w:rPr>
      </w:pPr>
      <w:r>
        <w:t>Checkpoint 2.2 closes the smoke-test phase. The experiment now has a frozen protocol, controlled normal and MTP deployments, strict shared wor</w:t>
      </w:r>
      <w:r>
        <w:t>kloads, a protocol-coupled streaming client, validated semantic phase timing, client NVTX markers, a combined CUDA/NVTX Nsight workflow, portable PyTorch traces, and operational cleanup controls. The next action is to execute and review the controlled pilo</w:t>
      </w:r>
      <w:r>
        <w:t>t, not to redesign the instrumentation stack.</w:t>
      </w:r>
      <w:bookmarkStart w:id="0" w:name="_GoBack"/>
      <w:bookmarkEnd w:id="0"/>
    </w:p>
    <w:sectPr w:rsidR="003E57C2" w:rsidSect="00034616">
      <w:headerReference w:type="default" r:id="rId8"/>
      <w:footerReference w:type="default" r:id="rId9"/>
      <w:pgSz w:w="12240" w:h="15840"/>
      <w:pgMar w:top="936" w:right="1037" w:bottom="936"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5E3CB5" w14:textId="77777777" w:rsidR="00000000" w:rsidRDefault="00191E0C">
      <w:pPr>
        <w:spacing w:after="0" w:line="240" w:lineRule="auto"/>
        <w:rPr>
          <w:rFonts w:hint="eastAsia"/>
        </w:rPr>
      </w:pPr>
      <w:r>
        <w:separator/>
      </w:r>
    </w:p>
  </w:endnote>
  <w:endnote w:type="continuationSeparator" w:id="0">
    <w:p w14:paraId="6B3D5449" w14:textId="77777777" w:rsidR="00000000" w:rsidRDefault="00191E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4DF9B4" w14:textId="128CEC35" w:rsidR="003E57C2" w:rsidRDefault="00191E0C">
    <w:pPr>
      <w:pStyle w:val="Footer"/>
      <w:jc w:val="right"/>
      <w:rPr>
        <w:rFonts w:hint="eastAsia"/>
      </w:rPr>
    </w:pPr>
    <w:r>
      <w:fldChar w:fldCharType="begin"/>
    </w:r>
    <w:r>
      <w:instrText>PAGE</w:instrText>
    </w:r>
    <w:r>
      <w:rPr>
        <w:rFonts w:hint="eastAsia"/>
      </w:rPr>
      <w:fldChar w:fldCharType="separate"/>
    </w:r>
    <w:r w:rsidR="00706A98">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6305C4" w14:textId="77777777" w:rsidR="00000000" w:rsidRDefault="00191E0C">
      <w:pPr>
        <w:spacing w:after="0" w:line="240" w:lineRule="auto"/>
        <w:rPr>
          <w:rFonts w:hint="eastAsia"/>
        </w:rPr>
      </w:pPr>
      <w:r>
        <w:separator/>
      </w:r>
    </w:p>
  </w:footnote>
  <w:footnote w:type="continuationSeparator" w:id="0">
    <w:p w14:paraId="4020B684" w14:textId="77777777" w:rsidR="00000000" w:rsidRDefault="00191E0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7DC9C" w14:textId="77777777" w:rsidR="003E57C2" w:rsidRDefault="00191E0C">
    <w:pPr>
      <w:pStyle w:val="Header"/>
      <w:rPr>
        <w:rFonts w:hint="eastAsia"/>
      </w:rPr>
    </w:pPr>
    <w:r>
      <w:rPr>
        <w:color w:val="667085"/>
        <w:sz w:val="16"/>
      </w:rPr>
      <w:t>GPU Profiling Study  |  Checkpoint 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lassification" w:val="Confidential"/>
    <w:docVar w:name="ClassificationTagSetId" w:val="e16409a7-1700-4153-9090-3955bc2f0ae8"/>
    <w:docVar w:name="ComplianceTagSetId" w:val="f14fc1f1-8950-40d5-8a29-45909da947d6"/>
    <w:docVar w:name="FileId" w:val="4602f010-4f6d-49ac-8572-854c29f44caf"/>
    <w:docVar w:name="GVData" w:val="eyJPUyI6IldpbmRvd3MiLCJkb2NJRCI6IjQ2MDJmMDEwLTRmNmQtNDlhYy04NTcyLTg1NGMyOWY0NGNhZiIsImRvY1N0YXRlIjoie30iLCJwYXJlbnRMaW5lSWRzIjoiW10iLCJ3cml0dGVuS2V5cyI6IltcIkNsYXNzaWZpY2F0aW9uXCIsXCJDbGFzc2lmaWNhdGlv"/>
    <w:docVar w:name="GVData0" w:val="blRhZ1NldElkXCIsXCJDb21wbGlhbmNlVGFnU2V0SWRcIixcIkZpbGVJZFwiLFwiZ3Zkb2NpZFwiLFwiVGFnRGF0ZVRpbWVcIixcIlVzZXJJZFwiXSIsIm5vT2ZHdkRhdGFFbnRyaWVzIjoiMyIsInRhZ3NldF9lMTY0MDlhN18xNzAwXzQxNTNfOTA5MF8zOTU1YmMy"/>
    <w:docVar w:name="GVData1" w:val="ZjBhZThfY2xhc3NpZmljYXRpb24iOiJDb25maWRlbnRpYWwiLCJ0YWdzZXRfMDA0ZGVhMzNfODc1MV80Mzk5X2E3NmVfOTVmMzcxY2I0MTE5X2Rpc3RyaWJ1dGlvbiI6IkludGVybmFsIn0="/>
    <w:docVar w:name="GVData2" w:val="(end)"/>
    <w:docVar w:name="gvdocid" w:val="4602f010-4f6d-49ac-8572-854c29f44caf"/>
    <w:docVar w:name="TagDateTime" w:val="2026-09-08T13:14:25Z"/>
    <w:docVar w:name="UserId" w:val="Suwesh Sah"/>
  </w:docVars>
  <w:rsids>
    <w:rsidRoot w:val="00B47730"/>
    <w:rsid w:val="00034616"/>
    <w:rsid w:val="0006063C"/>
    <w:rsid w:val="0015074B"/>
    <w:rsid w:val="00191E0C"/>
    <w:rsid w:val="0029639D"/>
    <w:rsid w:val="00326F90"/>
    <w:rsid w:val="00376039"/>
    <w:rsid w:val="003E57C2"/>
    <w:rsid w:val="00662A5D"/>
    <w:rsid w:val="00706A98"/>
    <w:rsid w:val="00A318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967CC2E5-9683-4E33-8B59-ABE1DAEAE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4F7"/>
      <w:spacing w:before="60" w:after="120" w:line="240" w:lineRule="auto"/>
      <w:ind w:left="288" w:right="144"/>
    </w:pPr>
    <w:rPr>
      <w:rFonts w:ascii="Liberation Mono" w:hAnsi="Liberation Mono"/>
      <w:color w:val="1F29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EDDD20-7ECA-404A-B21D-27030D950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1377</Words>
  <Characters>9135</Characters>
  <Application>Microsoft Office Word</Application>
  <DocSecurity>0</DocSecurity>
  <Lines>190</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 Profiling Checkpoint 2.2: Smoke Tests Complete and Experiment Admission</dc:title>
  <dc:subject>Complete validation of benchmark, Nsight Systems, NVTX, and PyTorch Profiler workflows</dc:subject>
  <dc:creator>Suwesh Prasad Sah- IT</dc:creator>
  <cp:keywords>GPU profiling, vLLM, MTP, speculative decoding, Nsight Systems, NVTX, PyTorch Profiler, Perfetto, smoke test</cp:keywords>
  <dc:description>generated by python-docx</dc:description>
  <cp:lastModifiedBy>Suwesh Prasad Sah- IT</cp:lastModifiedBy>
  <cp:revision>6</cp:revision>
  <dcterms:created xsi:type="dcterms:W3CDTF">2026-09-08T13:09:00Z</dcterms:created>
  <dcterms:modified xsi:type="dcterms:W3CDTF">2026-09-08T13:14:00Z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4602f010-4f6d-49ac-8572-854c29f44caf</vt:lpwstr>
  </property>
  <property fmtid="{D5CDD505-2E9C-101B-9397-08002B2CF9AE}" pid="3" name="ClassificationTagSetId">
    <vt:lpwstr>e16409a7-1700-4153-9090-3955bc2f0ae8</vt:lpwstr>
  </property>
  <property fmtid="{D5CDD505-2E9C-101B-9397-08002B2CF9AE}" pid="4" name="ComplianceTagSetId">
    <vt:lpwstr>f14fc1f1-8950-40d5-8a29-45909da947d6</vt:lpwstr>
  </property>
  <property fmtid="{D5CDD505-2E9C-101B-9397-08002B2CF9AE}" pid="5" name="FileId">
    <vt:lpwstr>4602f010-4f6d-49ac-8572-854c29f44caf</vt:lpwstr>
  </property>
  <property fmtid="{D5CDD505-2E9C-101B-9397-08002B2CF9AE}" pid="6" name="UserId">
    <vt:lpwstr>Suwesh Sah</vt:lpwstr>
  </property>
  <property fmtid="{D5CDD505-2E9C-101B-9397-08002B2CF9AE}" pid="7" name="TagDateTime">
    <vt:lpwstr>2026-09-08T13:14:25Z</vt:lpwstr>
  </property>
  <property fmtid="{D5CDD505-2E9C-101B-9397-08002B2CF9AE}" pid="8" name="GVData">
    <vt:lpwstr>eyJPUyI6IldpbmRvd3MiLCJkb2NJRCI6IjQ2MDJmMDEwLTRmNmQtNDlhYy04NTcyLTg1NGMyOWY0NGNhZiIsImRvY1N0YXRlIjoie30iLCJwYXJlbnRMaW5lSWRzIjoiW10iLCJ3cml0dGVuS2V5cyI6IltcIkNsYXNzaWZpY2F0aW9uXCIsXCJDbGFzc2lmaWNhdGlv</vt:lpwstr>
  </property>
  <property fmtid="{D5CDD505-2E9C-101B-9397-08002B2CF9AE}" pid="9" name="GVData0">
    <vt:lpwstr>blRhZ1NldElkXCIsXCJDb21wbGlhbmNlVGFnU2V0SWRcIixcIkZpbGVJZFwiLFwiZ3Zkb2NpZFwiLFwiVGFnRGF0ZVRpbWVcIixcIlVzZXJJZFwiXSIsIm5vT2ZHdkRhdGFFbnRyaWVzIjoiMyIsInRhZ3NldF9lMTY0MDlhN18xNzAwXzQxNTNfOTA5MF8zOTU1YmMy</vt:lpwstr>
  </property>
  <property fmtid="{D5CDD505-2E9C-101B-9397-08002B2CF9AE}" pid="10" name="GVData1">
    <vt:lpwstr>ZjBhZThfY2xhc3NpZmljYXRpb24iOiJDb25maWRlbnRpYWwiLCJ0YWdzZXRfMDA0ZGVhMzNfODc1MV80Mzk5X2E3NmVfOTVmMzcxY2I0MTE5X2Rpc3RyaWJ1dGlvbiI6IkludGVybmFsIn0=</vt:lpwstr>
  </property>
  <property fmtid="{D5CDD505-2E9C-101B-9397-08002B2CF9AE}" pid="11" name="GVData2">
    <vt:lpwstr>(end)</vt:lpwstr>
  </property>
  <property fmtid="{D5CDD505-2E9C-101B-9397-08002B2CF9AE}" pid="12" name="Classification">
    <vt:lpwstr>Confidential</vt:lpwstr>
  </property>
</Properties>
</file>