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11E9" w:rsidRDefault="00CC7D10">
      <w:pPr>
        <w:shd w:val="clear" w:color="auto" w:fill="107C41"/>
        <w:spacing w:before="500"/>
        <w:jc w:val="center"/>
        <w:rPr>
          <w:rFonts w:hint="eastAsia"/>
        </w:rPr>
      </w:pPr>
      <w:r>
        <w:rPr>
          <w:b/>
          <w:color w:val="FFFFFF"/>
          <w:sz w:val="22"/>
        </w:rPr>
        <w:t>CHECKPOINT 3.0</w:t>
      </w:r>
    </w:p>
    <w:p w:rsidR="00B311E9" w:rsidRDefault="00CC7D10">
      <w:pPr>
        <w:pStyle w:val="Title"/>
        <w:jc w:val="center"/>
      </w:pPr>
      <w:r>
        <w:t>Primary Experiment Collection Complete and Analysis Gate</w:t>
      </w:r>
    </w:p>
    <w:p w:rsidR="00B311E9" w:rsidRDefault="00CC7D10">
      <w:pPr>
        <w:pStyle w:val="Subtitle"/>
        <w:jc w:val="center"/>
      </w:pPr>
      <w:r>
        <w:t>Clean benchmark, Nsight Systems, PyTorch Profiler, runtime logs, and reproducibility evidence frozen</w:t>
      </w:r>
    </w:p>
    <w:p w:rsidR="00B311E9" w:rsidRDefault="00B311E9">
      <w:pPr>
        <w:rPr>
          <w:rFonts w:hint="eastAsia"/>
        </w:rPr>
      </w:pPr>
    </w:p>
    <w:tbl>
      <w:tblPr>
        <w:tblW w:w="0" w:type="auto"/>
        <w:tblLook w:val="04A0" w:firstRow="1" w:lastRow="0" w:firstColumn="1" w:lastColumn="0" w:noHBand="0" w:noVBand="1"/>
      </w:tblPr>
      <w:tblGrid>
        <w:gridCol w:w="10224"/>
      </w:tblGrid>
      <w:tr w:rsidR="00B311E9">
        <w:tc>
          <w:tcPr>
            <w:tcW w:w="10224" w:type="dxa"/>
            <w:shd w:val="clear" w:color="auto" w:fill="E8F5ED"/>
            <w:tcMar>
              <w:top w:w="110" w:type="dxa"/>
              <w:left w:w="110" w:type="dxa"/>
              <w:bottom w:w="110" w:type="dxa"/>
              <w:right w:w="110" w:type="dxa"/>
            </w:tcMar>
            <w:vAlign w:val="center"/>
          </w:tcPr>
          <w:p w:rsidR="00B311E9" w:rsidRDefault="00CC7D10">
            <w:pPr>
              <w:spacing w:after="0"/>
              <w:rPr>
                <w:rFonts w:hint="eastAsia"/>
              </w:rPr>
            </w:pPr>
            <w:r>
              <w:rPr>
                <w:b/>
                <w:color w:val="17365D"/>
                <w:sz w:val="19"/>
              </w:rPr>
              <w:t xml:space="preserve">Checkpoint decision: primary evidence collection is complete. The study has a </w:t>
            </w:r>
            <w:r>
              <w:rPr>
                <w:b/>
                <w:color w:val="17365D"/>
                <w:sz w:val="19"/>
              </w:rPr>
              <w:t xml:space="preserve">balanced 360-attempt benchmark dataset, six matched Nsight Systems reports, six matched PyTorch Profiler condition packages, validated client correlation artifacts, runtime logs, an environment manifest, and a checksum-verified full collection archive. No </w:t>
            </w:r>
            <w:r>
              <w:rPr>
                <w:b/>
                <w:color w:val="17365D"/>
                <w:sz w:val="19"/>
              </w:rPr>
              <w:t>further routine data collection is required. The project now enters analysis and paper production.</w:t>
            </w:r>
          </w:p>
        </w:tc>
      </w:tr>
    </w:tbl>
    <w:p w:rsidR="00B311E9" w:rsidRDefault="00CC7D10">
      <w:pPr>
        <w:spacing w:before="400"/>
        <w:jc w:val="center"/>
        <w:rPr>
          <w:rFonts w:hint="eastAsia"/>
        </w:rPr>
      </w:pPr>
      <w:r>
        <w:rPr>
          <w:b/>
          <w:color w:val="344054"/>
          <w:sz w:val="20"/>
        </w:rPr>
        <w:t>Suwesh Prasad Sah  |  10 September 2026</w:t>
      </w:r>
    </w:p>
    <w:p w:rsidR="00B311E9" w:rsidRDefault="00CC7D10">
      <w:pPr>
        <w:rPr>
          <w:rFonts w:hint="eastAsia"/>
        </w:rPr>
      </w:pPr>
      <w:r>
        <w:br w:type="page"/>
      </w:r>
    </w:p>
    <w:p w:rsidR="00B311E9" w:rsidRDefault="00CC7D10">
      <w:pPr>
        <w:pStyle w:val="Heading1"/>
      </w:pPr>
      <w:r>
        <w:lastRenderedPageBreak/>
        <w:t>1. Purpose and checkpoint boundary</w:t>
      </w:r>
    </w:p>
    <w:p w:rsidR="00B311E9" w:rsidRDefault="00CC7D10">
      <w:pPr>
        <w:rPr>
          <w:rFonts w:hint="eastAsia"/>
        </w:rPr>
      </w:pPr>
      <w:r>
        <w:t>Checkpoint 2.3 closed the pilot benchmark and admitted Protocol v1.2 to the pri</w:t>
      </w:r>
      <w:r>
        <w:t>mary experiment. Checkpoint 3.0 closes primary data collection and establishes the boundary between evidence generation and evidence interpretation. From this point onward, the default activity is analysis, profiler correlation, figure and table production</w:t>
      </w:r>
      <w:r>
        <w:t>, and paper writing.</w:t>
      </w:r>
    </w:p>
    <w:p w:rsidR="00B311E9" w:rsidRDefault="00CC7D10">
      <w:pPr>
        <w:rPr>
          <w:rFonts w:hint="eastAsia"/>
        </w:rPr>
      </w:pPr>
      <w:r>
        <w:t>This checkpoint records what was collected, how the collection remained controlled, which artifacts are authoritative, what validity limitations were observed, and what questions the analysis must answer. It deliberately avoids treatin</w:t>
      </w:r>
      <w:r>
        <w:t>g preliminary observations as final conclusions.</w:t>
      </w:r>
    </w:p>
    <w:p w:rsidR="00B311E9" w:rsidRDefault="00CC7D10">
      <w:pPr>
        <w:pStyle w:val="Heading1"/>
      </w:pPr>
      <w:r>
        <w:t>2. Study identity and frozen research question</w:t>
      </w:r>
    </w:p>
    <w:p w:rsidR="00B311E9" w:rsidRDefault="00CC7D10">
      <w:pPr>
        <w:rPr>
          <w:rFonts w:hint="eastAsia"/>
        </w:rPr>
      </w:pPr>
      <w:r>
        <w:t>Working paper title: Beneath the Tokens: A Performance Engineering Study of Multi-Token Prediction in GPU-Accelerated LLM Inference.</w:t>
      </w:r>
    </w:p>
    <w:tbl>
      <w:tblPr>
        <w:tblW w:w="0" w:type="auto"/>
        <w:tblLook w:val="04A0" w:firstRow="1" w:lastRow="0" w:firstColumn="1" w:lastColumn="0" w:noHBand="0" w:noVBand="1"/>
      </w:tblPr>
      <w:tblGrid>
        <w:gridCol w:w="10224"/>
      </w:tblGrid>
      <w:tr w:rsidR="00B311E9">
        <w:tc>
          <w:tcPr>
            <w:tcW w:w="10224" w:type="dxa"/>
            <w:shd w:val="clear" w:color="auto" w:fill="EAF2F8"/>
            <w:tcMar>
              <w:top w:w="110" w:type="dxa"/>
              <w:left w:w="110" w:type="dxa"/>
              <w:bottom w:w="110" w:type="dxa"/>
              <w:right w:w="110" w:type="dxa"/>
            </w:tcMar>
            <w:vAlign w:val="center"/>
          </w:tcPr>
          <w:p w:rsidR="00B311E9" w:rsidRDefault="00CC7D10">
            <w:pPr>
              <w:spacing w:after="0"/>
              <w:rPr>
                <w:rFonts w:hint="eastAsia"/>
              </w:rPr>
            </w:pPr>
            <w:r>
              <w:rPr>
                <w:b/>
                <w:color w:val="17365D"/>
                <w:sz w:val="19"/>
              </w:rPr>
              <w:t>Research question: How does</w:t>
            </w:r>
            <w:r>
              <w:rPr>
                <w:b/>
                <w:color w:val="17365D"/>
                <w:sz w:val="19"/>
              </w:rPr>
              <w:t xml:space="preserve"> MTP speculative decoding affect performance across plain-text, reasoning-intensive, and tool-calling workloads, and what execution behavior explains the differences?</w:t>
            </w:r>
          </w:p>
        </w:tc>
      </w:tr>
    </w:tbl>
    <w:p w:rsidR="00B311E9" w:rsidRDefault="00CC7D10">
      <w:pPr>
        <w:pStyle w:val="ListBullet"/>
        <w:rPr>
          <w:rFonts w:hint="eastAsia"/>
        </w:rPr>
      </w:pPr>
      <w:r>
        <w:t xml:space="preserve">Protocol version 1.2 remained frozen and checksum-verified throughout the primary </w:t>
      </w:r>
      <w:r>
        <w:t>experiment.</w:t>
      </w:r>
    </w:p>
    <w:p w:rsidR="00B311E9" w:rsidRDefault="00CC7D10">
      <w:pPr>
        <w:pStyle w:val="ListBullet"/>
        <w:rPr>
          <w:rFonts w:hint="eastAsia"/>
        </w:rPr>
      </w:pPr>
      <w:r>
        <w:t>Normal decoding and MTP speculative decoding were compared under matched verifier-model, request, batching, cache, parser, and output controls.</w:t>
      </w:r>
    </w:p>
    <w:p w:rsidR="00B311E9" w:rsidRDefault="00CC7D10">
      <w:pPr>
        <w:pStyle w:val="ListBullet"/>
        <w:rPr>
          <w:rFonts w:hint="eastAsia"/>
        </w:rPr>
      </w:pPr>
      <w:r>
        <w:t>MTP added a two-token speculative configuration using the dedicated drafter model.</w:t>
      </w:r>
    </w:p>
    <w:p w:rsidR="00B311E9" w:rsidRDefault="00CC7D10">
      <w:pPr>
        <w:pStyle w:val="ListBullet"/>
        <w:rPr>
          <w:rFonts w:hint="eastAsia"/>
        </w:rPr>
      </w:pPr>
      <w:r>
        <w:t>Clean benchmark t</w:t>
      </w:r>
      <w:r>
        <w:t>iming remained separate from profiler-instrumented diagnostic timing.</w:t>
      </w:r>
    </w:p>
    <w:p w:rsidR="00B311E9" w:rsidRDefault="00CC7D10">
      <w:pPr>
        <w:pStyle w:val="ListBullet"/>
        <w:rPr>
          <w:rFonts w:hint="eastAsia"/>
        </w:rPr>
      </w:pPr>
      <w:r>
        <w:t>Large profiler artifacts were retained as explanatory evidence, not mixed into the benchmark CSV.</w:t>
      </w:r>
    </w:p>
    <w:p w:rsidR="00B311E9" w:rsidRDefault="00CC7D10">
      <w:pPr>
        <w:pStyle w:val="Heading1"/>
      </w:pPr>
      <w:r>
        <w:t>3. Primary clean benchmark matrix</w:t>
      </w:r>
    </w:p>
    <w:p w:rsidR="00B311E9" w:rsidRDefault="00CC7D10">
      <w:pPr>
        <w:pStyle w:val="CodeBlock"/>
        <w:keepLines/>
        <w:rPr>
          <w:rFonts w:hint="eastAsia"/>
        </w:rPr>
      </w:pPr>
      <w:r>
        <w:t>2 decoding modes</w:t>
      </w:r>
      <w:r>
        <w:br/>
        <w:t>× 3 workload classes</w:t>
      </w:r>
      <w:r>
        <w:br/>
        <w:t xml:space="preserve">× 3 prompts per </w:t>
      </w:r>
      <w:r>
        <w:t>workload</w:t>
      </w:r>
      <w:r>
        <w:br/>
        <w:t>× 20 measured repetitions</w:t>
      </w:r>
      <w:r>
        <w:br/>
        <w:t>= 360 primary benchmark attempts</w:t>
      </w:r>
    </w:p>
    <w:tbl>
      <w:tblPr>
        <w:tblW w:w="10521" w:type="dxa"/>
        <w:jc w:val="center"/>
        <w:tblLayout w:type="fixed"/>
        <w:tblLook w:val="04A0" w:firstRow="1" w:lastRow="0" w:firstColumn="1" w:lastColumn="0" w:noHBand="0" w:noVBand="1"/>
      </w:tblPr>
      <w:tblGrid>
        <w:gridCol w:w="2787"/>
        <w:gridCol w:w="2787"/>
        <w:gridCol w:w="4947"/>
      </w:tblGrid>
      <w:tr w:rsidR="00B311E9" w:rsidTr="00276E28">
        <w:trPr>
          <w:trHeight w:val="202"/>
          <w:jc w:val="center"/>
        </w:trPr>
        <w:tc>
          <w:tcPr>
            <w:tcW w:w="2787"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Collection component</w:t>
            </w:r>
          </w:p>
        </w:tc>
        <w:tc>
          <w:tcPr>
            <w:tcW w:w="2787" w:type="dxa"/>
            <w:shd w:val="clear" w:color="auto" w:fill="17365D"/>
            <w:tcMar>
              <w:top w:w="110" w:type="dxa"/>
              <w:left w:w="110" w:type="dxa"/>
              <w:bottom w:w="110" w:type="dxa"/>
              <w:right w:w="110" w:type="dxa"/>
            </w:tcMar>
            <w:vAlign w:val="center"/>
          </w:tcPr>
          <w:p w:rsidR="00B311E9" w:rsidRDefault="00CC7D10">
            <w:pPr>
              <w:spacing w:after="0"/>
              <w:jc w:val="center"/>
              <w:rPr>
                <w:rFonts w:hint="eastAsia"/>
              </w:rPr>
            </w:pPr>
            <w:r>
              <w:rPr>
                <w:b/>
                <w:color w:val="FFFFFF"/>
                <w:sz w:val="17"/>
              </w:rPr>
              <w:t>Status</w:t>
            </w:r>
          </w:p>
        </w:tc>
        <w:tc>
          <w:tcPr>
            <w:tcW w:w="4947"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Recorded result</w:t>
            </w:r>
          </w:p>
        </w:tc>
      </w:tr>
      <w:tr w:rsidR="00B311E9" w:rsidTr="00276E28">
        <w:trPr>
          <w:trHeight w:val="175"/>
          <w:jc w:val="center"/>
        </w:trPr>
        <w:tc>
          <w:tcPr>
            <w:tcW w:w="2787"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Normal decoding</w:t>
            </w:r>
          </w:p>
        </w:tc>
        <w:tc>
          <w:tcPr>
            <w:tcW w:w="2787"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4947"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180 attempts: 60 plain-text, 60 reasoning-intensive, and 60 tool-calling.</w:t>
            </w:r>
          </w:p>
        </w:tc>
      </w:tr>
      <w:tr w:rsidR="00B311E9" w:rsidTr="00276E28">
        <w:trPr>
          <w:trHeight w:val="189"/>
          <w:jc w:val="center"/>
        </w:trPr>
        <w:tc>
          <w:tcPr>
            <w:tcW w:w="2787"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MTP decoding</w:t>
            </w:r>
          </w:p>
        </w:tc>
        <w:tc>
          <w:tcPr>
            <w:tcW w:w="2787"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4947"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180 attempts: 60 </w:t>
            </w:r>
            <w:r>
              <w:rPr>
                <w:color w:val="1F2937"/>
                <w:sz w:val="16"/>
              </w:rPr>
              <w:t>plain-text, 60 reasoning-intensive, and 60 tool-calling.</w:t>
            </w:r>
          </w:p>
        </w:tc>
      </w:tr>
      <w:tr w:rsidR="00B311E9" w:rsidTr="00276E28">
        <w:trPr>
          <w:trHeight w:val="189"/>
          <w:jc w:val="center"/>
        </w:trPr>
        <w:tc>
          <w:tcPr>
            <w:tcW w:w="2787"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Prompt coverage</w:t>
            </w:r>
          </w:p>
        </w:tc>
        <w:tc>
          <w:tcPr>
            <w:tcW w:w="2787"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4947"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Nine prompt conditions per mode; each prompt has exactly 20 repetitions.</w:t>
            </w:r>
          </w:p>
        </w:tc>
      </w:tr>
      <w:tr w:rsidR="00B311E9" w:rsidTr="00276E28">
        <w:trPr>
          <w:trHeight w:val="189"/>
          <w:jc w:val="center"/>
        </w:trPr>
        <w:tc>
          <w:tcPr>
            <w:tcW w:w="2787"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Run identity</w:t>
            </w:r>
          </w:p>
        </w:tc>
        <w:tc>
          <w:tcPr>
            <w:tcW w:w="2787"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4947"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360 unique run IDs; no duplicate run IDs.</w:t>
            </w:r>
          </w:p>
        </w:tc>
      </w:tr>
      <w:tr w:rsidR="00B311E9" w:rsidTr="00276E28">
        <w:trPr>
          <w:trHeight w:val="189"/>
          <w:jc w:val="center"/>
        </w:trPr>
        <w:tc>
          <w:tcPr>
            <w:tcW w:w="2787"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Protocol consistency</w:t>
            </w:r>
          </w:p>
        </w:tc>
        <w:tc>
          <w:tcPr>
            <w:tcW w:w="2787"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4947"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All rows </w:t>
            </w:r>
            <w:r>
              <w:rPr>
                <w:color w:val="1F2937"/>
                <w:sz w:val="16"/>
              </w:rPr>
              <w:t>identify Protocol v1.2.</w:t>
            </w:r>
          </w:p>
        </w:tc>
      </w:tr>
      <w:tr w:rsidR="00B311E9" w:rsidTr="00276E28">
        <w:trPr>
          <w:trHeight w:val="175"/>
          <w:jc w:val="center"/>
        </w:trPr>
        <w:tc>
          <w:tcPr>
            <w:tcW w:w="2787"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Primary CSV</w:t>
            </w:r>
          </w:p>
        </w:tc>
        <w:tc>
          <w:tcPr>
            <w:tcW w:w="2787"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4947"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results_primary_v1.2.csv contains 360 data rows and one header line.</w:t>
            </w:r>
          </w:p>
        </w:tc>
      </w:tr>
      <w:tr w:rsidR="00B311E9" w:rsidTr="00276E28">
        <w:trPr>
          <w:trHeight w:val="189"/>
          <w:jc w:val="center"/>
        </w:trPr>
        <w:tc>
          <w:tcPr>
            <w:tcW w:w="2787"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Run artifacts</w:t>
            </w:r>
          </w:p>
        </w:tc>
        <w:tc>
          <w:tcPr>
            <w:tcW w:w="2787"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4947"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360 measured run directories with raw.jsonl and summary.json evidence.</w:t>
            </w:r>
          </w:p>
        </w:tc>
      </w:tr>
      <w:tr w:rsidR="00B311E9" w:rsidTr="00276E28">
        <w:trPr>
          <w:trHeight w:val="364"/>
          <w:jc w:val="center"/>
        </w:trPr>
        <w:tc>
          <w:tcPr>
            <w:tcW w:w="2787"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Warm-up separation</w:t>
            </w:r>
          </w:p>
        </w:tc>
        <w:tc>
          <w:tcPr>
            <w:tcW w:w="2787"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4947"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Three workload-matched </w:t>
            </w:r>
            <w:r>
              <w:rPr>
                <w:color w:val="1F2937"/>
                <w:sz w:val="16"/>
              </w:rPr>
              <w:t>warm-ups per mode/workload group stored outside measured runs.</w:t>
            </w:r>
          </w:p>
        </w:tc>
      </w:tr>
    </w:tbl>
    <w:p w:rsidR="00B311E9" w:rsidRDefault="00CC7D10">
      <w:pPr>
        <w:pStyle w:val="Heading1"/>
      </w:pPr>
      <w:r>
        <w:t>4. Primary benchmark validity outcome</w:t>
      </w:r>
    </w:p>
    <w:p w:rsidR="00B311E9" w:rsidRDefault="00CC7D10">
      <w:pPr>
        <w:rPr>
          <w:rFonts w:hint="eastAsia"/>
        </w:rPr>
      </w:pPr>
      <w:r>
        <w:t xml:space="preserve">All 360 requests were benchmark-valid: the expected controlled service was active and no HTTP or streaming failure invalidated the measurements. Of these </w:t>
      </w:r>
      <w:r>
        <w:t>attempts, 349 passed benchmark, phase-mapping, and output validation simultaneously. Eleven attempts retained valid execution timing and semantic boundaries but failed the strict output validator.</w:t>
      </w:r>
    </w:p>
    <w:p w:rsidR="00B311E9" w:rsidRDefault="00CC7D10">
      <w:pPr>
        <w:pStyle w:val="CodeBlock"/>
        <w:keepLines/>
        <w:rPr>
          <w:rFonts w:hint="eastAsia"/>
        </w:rPr>
      </w:pPr>
      <w:r>
        <w:t>Collected attempts:        360</w:t>
      </w:r>
      <w:r>
        <w:br/>
        <w:t>Benchmark-valid attempts:  3</w:t>
      </w:r>
      <w:r>
        <w:t>60</w:t>
      </w:r>
      <w:r>
        <w:br/>
        <w:t>Fully valid attempts:      349</w:t>
      </w:r>
      <w:r>
        <w:br/>
        <w:t>Retained output exclusions: 11</w:t>
      </w:r>
    </w:p>
    <w:tbl>
      <w:tblPr>
        <w:tblW w:w="10758" w:type="dxa"/>
        <w:jc w:val="center"/>
        <w:tblLayout w:type="fixed"/>
        <w:tblLook w:val="04A0" w:firstRow="1" w:lastRow="0" w:firstColumn="1" w:lastColumn="0" w:noHBand="0" w:noVBand="1"/>
      </w:tblPr>
      <w:tblGrid>
        <w:gridCol w:w="2850"/>
        <w:gridCol w:w="2850"/>
        <w:gridCol w:w="5058"/>
      </w:tblGrid>
      <w:tr w:rsidR="00B311E9" w:rsidTr="00276E28">
        <w:trPr>
          <w:trHeight w:val="192"/>
          <w:jc w:val="center"/>
        </w:trPr>
        <w:tc>
          <w:tcPr>
            <w:tcW w:w="2850"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lastRenderedPageBreak/>
              <w:t>Condition</w:t>
            </w:r>
          </w:p>
        </w:tc>
        <w:tc>
          <w:tcPr>
            <w:tcW w:w="2850" w:type="dxa"/>
            <w:shd w:val="clear" w:color="auto" w:fill="17365D"/>
            <w:tcMar>
              <w:top w:w="110" w:type="dxa"/>
              <w:left w:w="110" w:type="dxa"/>
              <w:bottom w:w="110" w:type="dxa"/>
              <w:right w:w="110" w:type="dxa"/>
            </w:tcMar>
            <w:vAlign w:val="center"/>
          </w:tcPr>
          <w:p w:rsidR="00B311E9" w:rsidRDefault="00CC7D10">
            <w:pPr>
              <w:spacing w:after="0"/>
              <w:jc w:val="center"/>
              <w:rPr>
                <w:rFonts w:hint="eastAsia"/>
              </w:rPr>
            </w:pPr>
            <w:r>
              <w:rPr>
                <w:b/>
                <w:color w:val="FFFFFF"/>
                <w:sz w:val="17"/>
              </w:rPr>
              <w:t>Status</w:t>
            </w:r>
          </w:p>
        </w:tc>
        <w:tc>
          <w:tcPr>
            <w:tcW w:w="5058"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Validity observation</w:t>
            </w:r>
          </w:p>
        </w:tc>
      </w:tr>
      <w:tr w:rsidR="00B311E9" w:rsidTr="00276E28">
        <w:trPr>
          <w:trHeight w:val="346"/>
          <w:jc w:val="center"/>
        </w:trPr>
        <w:tc>
          <w:tcPr>
            <w:tcW w:w="285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Normal reasoning_001</w:t>
            </w:r>
          </w:p>
        </w:tc>
        <w:tc>
          <w:tcPr>
            <w:tcW w:w="285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KEEP</w:t>
            </w:r>
          </w:p>
        </w:tc>
        <w:tc>
          <w:tcPr>
            <w:tcW w:w="5058"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2 attempts ended normally but did not contain the exact expected final-answer string.</w:t>
            </w:r>
          </w:p>
        </w:tc>
      </w:tr>
      <w:tr w:rsidR="00B311E9" w:rsidTr="00276E28">
        <w:trPr>
          <w:trHeight w:val="167"/>
          <w:jc w:val="center"/>
        </w:trPr>
        <w:tc>
          <w:tcPr>
            <w:tcW w:w="285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Normal reasoning_002</w:t>
            </w:r>
          </w:p>
        </w:tc>
        <w:tc>
          <w:tcPr>
            <w:tcW w:w="2850"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KEEP</w:t>
            </w:r>
          </w:p>
        </w:tc>
        <w:tc>
          <w:tcPr>
            <w:tcW w:w="5058"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1 attempt </w:t>
            </w:r>
            <w:r>
              <w:rPr>
                <w:color w:val="1F2937"/>
                <w:sz w:val="16"/>
              </w:rPr>
              <w:t>reached the 1,024-token ceiling and failed output validation.</w:t>
            </w:r>
          </w:p>
        </w:tc>
      </w:tr>
      <w:tr w:rsidR="00B311E9" w:rsidTr="00276E28">
        <w:trPr>
          <w:trHeight w:val="346"/>
          <w:jc w:val="center"/>
        </w:trPr>
        <w:tc>
          <w:tcPr>
            <w:tcW w:w="285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MTP reasoning_001</w:t>
            </w:r>
          </w:p>
        </w:tc>
        <w:tc>
          <w:tcPr>
            <w:tcW w:w="285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KEEP</w:t>
            </w:r>
          </w:p>
        </w:tc>
        <w:tc>
          <w:tcPr>
            <w:tcW w:w="5058"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4 attempts ended normally but did not contain the exact expected final-answer string.</w:t>
            </w:r>
          </w:p>
        </w:tc>
      </w:tr>
      <w:tr w:rsidR="00B311E9" w:rsidTr="00276E28">
        <w:trPr>
          <w:trHeight w:val="179"/>
          <w:jc w:val="center"/>
        </w:trPr>
        <w:tc>
          <w:tcPr>
            <w:tcW w:w="285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MTP reasoning_002</w:t>
            </w:r>
          </w:p>
        </w:tc>
        <w:tc>
          <w:tcPr>
            <w:tcW w:w="2850"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KEEP</w:t>
            </w:r>
          </w:p>
        </w:tc>
        <w:tc>
          <w:tcPr>
            <w:tcW w:w="5058"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4 attempts reached the 1,024-token ceiling and failed output</w:t>
            </w:r>
            <w:r>
              <w:rPr>
                <w:color w:val="1F2937"/>
                <w:sz w:val="16"/>
              </w:rPr>
              <w:t xml:space="preserve"> validation.</w:t>
            </w:r>
          </w:p>
        </w:tc>
      </w:tr>
      <w:tr w:rsidR="00B311E9" w:rsidTr="00276E28">
        <w:trPr>
          <w:trHeight w:val="179"/>
          <w:jc w:val="center"/>
        </w:trPr>
        <w:tc>
          <w:tcPr>
            <w:tcW w:w="285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Plain-text conditions</w:t>
            </w:r>
          </w:p>
        </w:tc>
        <w:tc>
          <w:tcPr>
            <w:tcW w:w="285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058"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No retained invalid output in the primary CSV.</w:t>
            </w:r>
          </w:p>
        </w:tc>
      </w:tr>
      <w:tr w:rsidR="00B311E9" w:rsidTr="00276E28">
        <w:trPr>
          <w:trHeight w:val="179"/>
          <w:jc w:val="center"/>
        </w:trPr>
        <w:tc>
          <w:tcPr>
            <w:tcW w:w="285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Tool-calling conditions</w:t>
            </w:r>
          </w:p>
        </w:tc>
        <w:tc>
          <w:tcPr>
            <w:tcW w:w="2850"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058"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All selected outputs passed tool name, argument, and structure checks.</w:t>
            </w:r>
          </w:p>
        </w:tc>
      </w:tr>
    </w:tbl>
    <w:p w:rsidR="00B311E9" w:rsidRDefault="00CC7D10">
      <w:pPr>
        <w:rPr>
          <w:rFonts w:hint="eastAsia"/>
        </w:rPr>
      </w:pPr>
      <w:r>
        <w:t>The eleven rows remain in the authoritative dataset. They must not</w:t>
      </w:r>
      <w:r>
        <w:t xml:space="preserve"> be deleted or silently replaced. Analyses requiring a correct completed output will filter on output_valid; analyses of request execution or truncation incidence may retain the relevant rows with explicit labeling.</w:t>
      </w:r>
    </w:p>
    <w:p w:rsidR="00B311E9" w:rsidRDefault="00CC7D10">
      <w:pPr>
        <w:pStyle w:val="Heading1"/>
      </w:pPr>
      <w:r>
        <w:t>5. Benchmark artifacts and output isolat</w:t>
      </w:r>
      <w:r>
        <w:t>ion</w:t>
      </w:r>
    </w:p>
    <w:p w:rsidR="00B311E9" w:rsidRDefault="00CC7D10">
      <w:pPr>
        <w:pStyle w:val="CodeBlock"/>
        <w:keepLines/>
        <w:rPr>
          <w:rFonts w:hint="eastAsia"/>
        </w:rPr>
      </w:pPr>
      <w:r>
        <w:t>primary/</w:t>
      </w:r>
      <w:r>
        <w:br/>
        <w:t>├── results_primary_v1.2.csv</w:t>
      </w:r>
      <w:r>
        <w:br/>
        <w:t>├── runs/                 # 360 measured conditions</w:t>
      </w:r>
      <w:r>
        <w:br/>
        <w:t>├── warmups/              # unmeasured workload-matched warm-ups</w:t>
      </w:r>
      <w:r>
        <w:br/>
        <w:t>├── archives/</w:t>
      </w:r>
      <w:r>
        <w:br/>
        <w:t>├── environment_primary.txt</w:t>
      </w:r>
      <w:r>
        <w:br/>
        <w:t>├── autoregressive_profservice_primary.log</w:t>
      </w:r>
      <w:r>
        <w:br/>
        <w:t>├── mtp_prof</w:t>
      </w:r>
      <w:r>
        <w:t>service_primary.log</w:t>
      </w:r>
      <w:r>
        <w:br/>
        <w:t>└── service-definition exports (sanitized before publication)</w:t>
      </w:r>
    </w:p>
    <w:p w:rsidR="00B311E9" w:rsidRDefault="00CC7D10">
      <w:pPr>
        <w:rPr>
          <w:rFonts w:hint="eastAsia"/>
        </w:rPr>
      </w:pPr>
      <w:r>
        <w:t>The orchestration path remained layered: run_primary_benchmark.sh controlled the matrix and warm-ups, run_benchmark.sh performed one checked measurement, and gpu_prof_client.</w:t>
      </w:r>
      <w:r>
        <w:t>py generated requests, timestamps, validation fields, raw events, summaries, and the aggregate CSV. Environment overrides redirected final measurements into primary/ without changing the validated single-request wrapper.</w:t>
      </w:r>
    </w:p>
    <w:p w:rsidR="00B311E9" w:rsidRDefault="00CC7D10">
      <w:pPr>
        <w:pStyle w:val="Heading1"/>
      </w:pPr>
      <w:r>
        <w:t>6. Nsight Systems collection</w:t>
      </w:r>
    </w:p>
    <w:p w:rsidR="00B311E9" w:rsidRDefault="00CC7D10">
      <w:pPr>
        <w:rPr>
          <w:rFonts w:hint="eastAsia"/>
        </w:rPr>
      </w:pPr>
      <w:r>
        <w:t xml:space="preserve">Six </w:t>
      </w:r>
      <w:r>
        <w:t xml:space="preserve">final Nsight Systems reports were collected, one representative prompt for each workload under each decoding mode. Each capture used a temporary controlled vLLM instance, a runtime-settling interval, three workload-matched warm-ups, and one target request </w:t>
      </w:r>
      <w:r>
        <w:t>containing client NVTX markers.</w:t>
      </w:r>
    </w:p>
    <w:p w:rsidR="00B311E9" w:rsidRDefault="00CC7D10">
      <w:pPr>
        <w:pStyle w:val="CodeBlock"/>
        <w:keepLines/>
        <w:rPr>
          <w:rFonts w:hint="eastAsia"/>
        </w:rPr>
      </w:pPr>
      <w:r>
        <w:t>Normal: plain_001, reasoning_001, tool_001</w:t>
      </w:r>
      <w:r>
        <w:br/>
        <w:t>MTP:    plain_001, reasoning_001, tool_001</w:t>
      </w:r>
      <w:r>
        <w:br/>
        <w:t>Total:  6 final r100 reports</w:t>
      </w:r>
    </w:p>
    <w:tbl>
      <w:tblPr>
        <w:tblW w:w="10850" w:type="dxa"/>
        <w:jc w:val="center"/>
        <w:tblLayout w:type="fixed"/>
        <w:tblLook w:val="04A0" w:firstRow="1" w:lastRow="0" w:firstColumn="1" w:lastColumn="0" w:noHBand="0" w:noVBand="1"/>
      </w:tblPr>
      <w:tblGrid>
        <w:gridCol w:w="2874"/>
        <w:gridCol w:w="2874"/>
        <w:gridCol w:w="5102"/>
      </w:tblGrid>
      <w:tr w:rsidR="00B311E9" w:rsidTr="00171E9C">
        <w:trPr>
          <w:trHeight w:val="218"/>
          <w:jc w:val="center"/>
        </w:trPr>
        <w:tc>
          <w:tcPr>
            <w:tcW w:w="2874" w:type="dxa"/>
            <w:shd w:val="clear" w:color="auto" w:fill="17365D"/>
            <w:tcMar>
              <w:top w:w="110" w:type="dxa"/>
              <w:left w:w="110" w:type="dxa"/>
              <w:bottom w:w="110" w:type="dxa"/>
              <w:right w:w="110" w:type="dxa"/>
            </w:tcMar>
            <w:vAlign w:val="center"/>
          </w:tcPr>
          <w:p w:rsidR="00B311E9" w:rsidRDefault="00CC7D10">
            <w:pPr>
              <w:spacing w:after="0"/>
              <w:rPr>
                <w:rFonts w:hint="eastAsia"/>
              </w:rPr>
            </w:pPr>
            <w:proofErr w:type="spellStart"/>
            <w:r>
              <w:rPr>
                <w:b/>
                <w:color w:val="FFFFFF"/>
                <w:sz w:val="17"/>
              </w:rPr>
              <w:t>Nsight</w:t>
            </w:r>
            <w:proofErr w:type="spellEnd"/>
            <w:r>
              <w:rPr>
                <w:b/>
                <w:color w:val="FFFFFF"/>
                <w:sz w:val="17"/>
              </w:rPr>
              <w:t xml:space="preserve"> component</w:t>
            </w:r>
          </w:p>
        </w:tc>
        <w:tc>
          <w:tcPr>
            <w:tcW w:w="2874" w:type="dxa"/>
            <w:shd w:val="clear" w:color="auto" w:fill="17365D"/>
            <w:tcMar>
              <w:top w:w="110" w:type="dxa"/>
              <w:left w:w="110" w:type="dxa"/>
              <w:bottom w:w="110" w:type="dxa"/>
              <w:right w:w="110" w:type="dxa"/>
            </w:tcMar>
            <w:vAlign w:val="center"/>
          </w:tcPr>
          <w:p w:rsidR="00B311E9" w:rsidRDefault="00CC7D10">
            <w:pPr>
              <w:spacing w:after="0"/>
              <w:jc w:val="center"/>
              <w:rPr>
                <w:rFonts w:hint="eastAsia"/>
              </w:rPr>
            </w:pPr>
            <w:r>
              <w:rPr>
                <w:b/>
                <w:color w:val="FFFFFF"/>
                <w:sz w:val="17"/>
              </w:rPr>
              <w:t>Status</w:t>
            </w:r>
          </w:p>
        </w:tc>
        <w:tc>
          <w:tcPr>
            <w:tcW w:w="5102"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Evidence</w:t>
            </w:r>
          </w:p>
        </w:tc>
      </w:tr>
      <w:tr w:rsidR="00B311E9" w:rsidTr="00171E9C">
        <w:trPr>
          <w:trHeight w:val="189"/>
          <w:jc w:val="center"/>
        </w:trPr>
        <w:tc>
          <w:tcPr>
            <w:tcW w:w="2874"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Trace configuration</w:t>
            </w:r>
          </w:p>
        </w:tc>
        <w:tc>
          <w:tcPr>
            <w:tcW w:w="2874"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102"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cuda,nvtx,osrt enabled; CUDA Graph node tracing </w:t>
            </w:r>
            <w:r>
              <w:rPr>
                <w:color w:val="1F2937"/>
                <w:sz w:val="16"/>
              </w:rPr>
              <w:t>enabled when supported.</w:t>
            </w:r>
          </w:p>
        </w:tc>
      </w:tr>
      <w:tr w:rsidR="00B311E9" w:rsidTr="00171E9C">
        <w:trPr>
          <w:trHeight w:val="203"/>
          <w:jc w:val="center"/>
        </w:trPr>
        <w:tc>
          <w:tcPr>
            <w:tcW w:w="2874"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Process-tree capture</w:t>
            </w:r>
          </w:p>
        </w:tc>
        <w:tc>
          <w:tcPr>
            <w:tcW w:w="2874"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102"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Temporary vLLM and target client executed beneath the same nsys profile tree.</w:t>
            </w:r>
          </w:p>
        </w:tc>
      </w:tr>
      <w:tr w:rsidR="00B311E9" w:rsidTr="00171E9C">
        <w:trPr>
          <w:trHeight w:val="393"/>
          <w:jc w:val="center"/>
        </w:trPr>
        <w:tc>
          <w:tcPr>
            <w:tcW w:w="2874"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Semantic markers</w:t>
            </w:r>
          </w:p>
        </w:tc>
        <w:tc>
          <w:tcPr>
            <w:tcW w:w="2874"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102"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RUN_START, FIRST_OUTPUT, FIRST_REASONING, FIRST_FINAL or FIRST_TOOL_CALL, and RUN_END available as </w:t>
            </w:r>
            <w:r>
              <w:rPr>
                <w:color w:val="1F2937"/>
                <w:sz w:val="16"/>
              </w:rPr>
              <w:t>applicable.</w:t>
            </w:r>
          </w:p>
        </w:tc>
      </w:tr>
      <w:tr w:rsidR="00B311E9" w:rsidTr="00171E9C">
        <w:trPr>
          <w:trHeight w:val="203"/>
          <w:jc w:val="center"/>
        </w:trPr>
        <w:tc>
          <w:tcPr>
            <w:tcW w:w="2874"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CUDA evidence</w:t>
            </w:r>
          </w:p>
        </w:tc>
        <w:tc>
          <w:tcPr>
            <w:tcW w:w="2874"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102"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EngineCore CUDA APIs, CUDA Graph activity, and GPU kernel timelines captured.</w:t>
            </w:r>
          </w:p>
        </w:tc>
      </w:tr>
      <w:tr w:rsidR="00B311E9" w:rsidTr="00171E9C">
        <w:trPr>
          <w:trHeight w:val="203"/>
          <w:jc w:val="center"/>
        </w:trPr>
        <w:tc>
          <w:tcPr>
            <w:tcW w:w="2874"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Condition coverage</w:t>
            </w:r>
          </w:p>
        </w:tc>
        <w:tc>
          <w:tcPr>
            <w:tcW w:w="2874"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5102"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Six r100 .nsys-rep files across normal/MTP and plain/reasoning/tool workloads.</w:t>
            </w:r>
          </w:p>
        </w:tc>
      </w:tr>
      <w:tr w:rsidR="00B311E9" w:rsidTr="00171E9C">
        <w:trPr>
          <w:trHeight w:val="203"/>
          <w:jc w:val="center"/>
        </w:trPr>
        <w:tc>
          <w:tcPr>
            <w:tcW w:w="2874"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SQLite exports</w:t>
            </w:r>
          </w:p>
        </w:tc>
        <w:tc>
          <w:tcPr>
            <w:tcW w:w="2874"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5102"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Six .sqlite </w:t>
            </w:r>
            <w:r>
              <w:rPr>
                <w:color w:val="1F2937"/>
                <w:sz w:val="16"/>
              </w:rPr>
              <w:t>files retained for scripted kernel summaries and comparisons.</w:t>
            </w:r>
          </w:p>
        </w:tc>
      </w:tr>
      <w:tr w:rsidR="00B311E9" w:rsidTr="00171E9C">
        <w:trPr>
          <w:trHeight w:val="189"/>
          <w:jc w:val="center"/>
        </w:trPr>
        <w:tc>
          <w:tcPr>
            <w:tcW w:w="2874"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Target validity</w:t>
            </w:r>
          </w:p>
        </w:tc>
        <w:tc>
          <w:tcPr>
            <w:tcW w:w="2874"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102"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All six r100 client summaries have phase_mapping_valid=true and </w:t>
            </w:r>
            <w:r>
              <w:rPr>
                <w:color w:val="1F2937"/>
                <w:sz w:val="16"/>
              </w:rPr>
              <w:lastRenderedPageBreak/>
              <w:t>output_valid=true.</w:t>
            </w:r>
          </w:p>
        </w:tc>
      </w:tr>
      <w:tr w:rsidR="00B311E9" w:rsidTr="00171E9C">
        <w:trPr>
          <w:trHeight w:val="203"/>
          <w:jc w:val="center"/>
        </w:trPr>
        <w:tc>
          <w:tcPr>
            <w:tcW w:w="2874"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lastRenderedPageBreak/>
              <w:t>Cleanup</w:t>
            </w:r>
          </w:p>
        </w:tc>
        <w:tc>
          <w:tcPr>
            <w:tcW w:w="2874"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102"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Temporary vLLM stopped; post-capture GPU compute memory returned to zero.</w:t>
            </w:r>
          </w:p>
        </w:tc>
      </w:tr>
    </w:tbl>
    <w:p w:rsidR="00B311E9" w:rsidRDefault="00CC7D10">
      <w:pPr>
        <w:rPr>
          <w:rFonts w:hint="eastAsia"/>
        </w:rPr>
      </w:pPr>
      <w:r>
        <w:t xml:space="preserve">The normal plain-text summary already demonstrates the expected kernel families, including dominant GEMV work, Marlin quantized kernels, CUTLASS GEMM, elementwise and reduction kernels, slot mapping, and fused BF16 attention. Final claims will be based on </w:t>
      </w:r>
      <w:r>
        <w:t>matched normal-versus-MTP comparisons rather than a single summary.</w:t>
      </w:r>
    </w:p>
    <w:p w:rsidR="00B311E9" w:rsidRDefault="00CC7D10">
      <w:pPr>
        <w:pStyle w:val="Heading1"/>
      </w:pPr>
      <w:r>
        <w:t>7. PyTorch Profiler collection</w:t>
      </w:r>
    </w:p>
    <w:p w:rsidR="00B311E9" w:rsidRDefault="00CC7D10">
      <w:pPr>
        <w:rPr>
          <w:rFonts w:hint="eastAsia"/>
        </w:rPr>
      </w:pPr>
      <w:r>
        <w:t>Six matched PyTorch Profiler condition packages were collected, again covering plain_001, reasoning_001, and tool_001 under both normal and MTP decoding. The</w:t>
      </w:r>
      <w:r>
        <w:t xml:space="preserve"> finalized wrapper performed three unprofiled warm-ups before /start_profile, then captured one target request and flushed the profiler through /stop_profile.</w:t>
      </w:r>
    </w:p>
    <w:p w:rsidR="00B311E9" w:rsidRDefault="00CC7D10">
      <w:pPr>
        <w:pStyle w:val="CodeBlock"/>
        <w:keepLines/>
        <w:rPr>
          <w:rFonts w:hint="eastAsia"/>
        </w:rPr>
      </w:pPr>
      <w:r>
        <w:t>profiles/torch/</w:t>
      </w:r>
      <w:r>
        <w:br/>
        <w:t>├── normal/{plain_001, reasoning_001, tool_001}/</w:t>
      </w:r>
      <w:r>
        <w:br/>
        <w:t>└── mtp/{plain_001, reasoning_00</w:t>
      </w:r>
      <w:r>
        <w:t>1, tool_001}/</w:t>
      </w:r>
      <w:r>
        <w:br/>
      </w:r>
      <w:r>
        <w:br/>
        <w:t>Each condition folder contains:</w:t>
      </w:r>
      <w:r>
        <w:br/>
        <w:t xml:space="preserve">  rank0.*.pt.trace.json.gz</w:t>
      </w:r>
      <w:r>
        <w:br/>
        <w:t xml:space="preserve">  *.async_llm.*.pt.trace.json.gz</w:t>
      </w:r>
      <w:r>
        <w:br/>
        <w:t xml:space="preserve">  profiler_out_0.txt</w:t>
      </w:r>
    </w:p>
    <w:tbl>
      <w:tblPr>
        <w:tblW w:w="10791" w:type="dxa"/>
        <w:jc w:val="center"/>
        <w:tblLayout w:type="fixed"/>
        <w:tblLook w:val="04A0" w:firstRow="1" w:lastRow="0" w:firstColumn="1" w:lastColumn="0" w:noHBand="0" w:noVBand="1"/>
      </w:tblPr>
      <w:tblGrid>
        <w:gridCol w:w="2859"/>
        <w:gridCol w:w="2859"/>
        <w:gridCol w:w="5073"/>
      </w:tblGrid>
      <w:tr w:rsidR="00B311E9" w:rsidTr="00C93B66">
        <w:trPr>
          <w:trHeight w:val="201"/>
          <w:jc w:val="center"/>
        </w:trPr>
        <w:tc>
          <w:tcPr>
            <w:tcW w:w="2859"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Torch component</w:t>
            </w:r>
          </w:p>
        </w:tc>
        <w:tc>
          <w:tcPr>
            <w:tcW w:w="2859" w:type="dxa"/>
            <w:shd w:val="clear" w:color="auto" w:fill="17365D"/>
            <w:tcMar>
              <w:top w:w="110" w:type="dxa"/>
              <w:left w:w="110" w:type="dxa"/>
              <w:bottom w:w="110" w:type="dxa"/>
              <w:right w:w="110" w:type="dxa"/>
            </w:tcMar>
            <w:vAlign w:val="center"/>
          </w:tcPr>
          <w:p w:rsidR="00B311E9" w:rsidRDefault="00CC7D10">
            <w:pPr>
              <w:spacing w:after="0"/>
              <w:jc w:val="center"/>
              <w:rPr>
                <w:rFonts w:hint="eastAsia"/>
              </w:rPr>
            </w:pPr>
            <w:r>
              <w:rPr>
                <w:b/>
                <w:color w:val="FFFFFF"/>
                <w:sz w:val="17"/>
              </w:rPr>
              <w:t>Status</w:t>
            </w:r>
          </w:p>
        </w:tc>
        <w:tc>
          <w:tcPr>
            <w:tcW w:w="5073"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Evidence</w:t>
            </w:r>
          </w:p>
        </w:tc>
      </w:tr>
      <w:tr w:rsidR="00B311E9" w:rsidTr="00C93B66">
        <w:trPr>
          <w:trHeight w:val="363"/>
          <w:jc w:val="center"/>
        </w:trPr>
        <w:tc>
          <w:tcPr>
            <w:tcW w:w="2859"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Worker traces</w:t>
            </w:r>
          </w:p>
        </w:tc>
        <w:tc>
          <w:tcPr>
            <w:tcW w:w="2859"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5073"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Six rank0 compressed traces retained for EngineCore, operator, and </w:t>
            </w:r>
            <w:r>
              <w:rPr>
                <w:color w:val="1F2937"/>
                <w:sz w:val="16"/>
              </w:rPr>
              <w:t>GPU-stream analysis.</w:t>
            </w:r>
          </w:p>
        </w:tc>
      </w:tr>
      <w:tr w:rsidR="00B311E9" w:rsidTr="00C93B66">
        <w:trPr>
          <w:trHeight w:val="350"/>
          <w:jc w:val="center"/>
        </w:trPr>
        <w:tc>
          <w:tcPr>
            <w:tcW w:w="2859"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Frontend traces</w:t>
            </w:r>
          </w:p>
        </w:tc>
        <w:tc>
          <w:tcPr>
            <w:tcW w:w="2859"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5073"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Six AsyncLLM compressed traces retained for request and asynchronous frontend context.</w:t>
            </w:r>
          </w:p>
        </w:tc>
      </w:tr>
      <w:tr w:rsidR="00B311E9" w:rsidTr="00C93B66">
        <w:trPr>
          <w:trHeight w:val="188"/>
          <w:jc w:val="center"/>
        </w:trPr>
        <w:tc>
          <w:tcPr>
            <w:tcW w:w="2859"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Aggregate text summaries</w:t>
            </w:r>
          </w:p>
        </w:tc>
        <w:tc>
          <w:tcPr>
            <w:tcW w:w="2859"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5073"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One profiler_out_0.txt preserved inside each condition folder.</w:t>
            </w:r>
          </w:p>
        </w:tc>
      </w:tr>
      <w:tr w:rsidR="00B311E9" w:rsidTr="00C93B66">
        <w:trPr>
          <w:trHeight w:val="363"/>
          <w:jc w:val="center"/>
        </w:trPr>
        <w:tc>
          <w:tcPr>
            <w:tcW w:w="2859"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Warm-up placement</w:t>
            </w:r>
          </w:p>
        </w:tc>
        <w:tc>
          <w:tcPr>
            <w:tcW w:w="2859"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073"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Three warm-ups occurred before profiling began, preventing warm-up work from contaminating target traces.</w:t>
            </w:r>
          </w:p>
        </w:tc>
      </w:tr>
      <w:tr w:rsidR="00B311E9" w:rsidTr="00C93B66">
        <w:trPr>
          <w:trHeight w:val="188"/>
          <w:jc w:val="center"/>
        </w:trPr>
        <w:tc>
          <w:tcPr>
            <w:tcW w:w="2859"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Target validity</w:t>
            </w:r>
          </w:p>
        </w:tc>
        <w:tc>
          <w:tcPr>
            <w:tcW w:w="2859"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073"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All six target summaries have phase_mapping_valid=true and output_valid=true.</w:t>
            </w:r>
          </w:p>
        </w:tc>
      </w:tr>
      <w:tr w:rsidR="00B311E9" w:rsidTr="00C93B66">
        <w:trPr>
          <w:trHeight w:val="188"/>
          <w:jc w:val="center"/>
        </w:trPr>
        <w:tc>
          <w:tcPr>
            <w:tcW w:w="2859"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Portable visualization</w:t>
            </w:r>
          </w:p>
        </w:tc>
        <w:tc>
          <w:tcPr>
            <w:tcW w:w="2859"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5073"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Compressed traces </w:t>
            </w:r>
            <w:r>
              <w:rPr>
                <w:color w:val="1F2937"/>
                <w:sz w:val="16"/>
              </w:rPr>
              <w:t>can be opened in Perfetto; rank0 is the primary worker trace.</w:t>
            </w:r>
          </w:p>
        </w:tc>
      </w:tr>
    </w:tbl>
    <w:p w:rsidR="00B311E9" w:rsidRDefault="00CC7D10">
      <w:pPr>
        <w:rPr>
          <w:rFonts w:hint="eastAsia"/>
        </w:rPr>
      </w:pPr>
      <w:r>
        <w:t xml:space="preserve">Profiler-run </w:t>
      </w:r>
      <w:proofErr w:type="spellStart"/>
      <w:r>
        <w:t>benchmark_valid</w:t>
      </w:r>
      <w:proofErr w:type="spellEnd"/>
      <w:r>
        <w:t xml:space="preserve">=false with </w:t>
      </w:r>
      <w:proofErr w:type="spellStart"/>
      <w:r>
        <w:t>expected_service_not_active</w:t>
      </w:r>
      <w:proofErr w:type="spellEnd"/>
      <w:r>
        <w:t xml:space="preserve"> is expected because Protocol v1.2 names the clean benchmark services while diagnostic runs use dedicated Torch services. Thes</w:t>
      </w:r>
      <w:r>
        <w:t>e traces remain valid explanatory artifacts because phase and output validation passed.</w:t>
      </w:r>
    </w:p>
    <w:p w:rsidR="00B311E9" w:rsidRDefault="00CC7D10">
      <w:pPr>
        <w:pStyle w:val="Heading1"/>
      </w:pPr>
      <w:r>
        <w:t>8. Runtime logs and speculative-decoding metrics</w:t>
      </w:r>
    </w:p>
    <w:p w:rsidR="00B311E9" w:rsidRDefault="00CC7D10">
      <w:pPr>
        <w:rPr>
          <w:rFonts w:hint="eastAsia"/>
        </w:rPr>
      </w:pPr>
      <w:r>
        <w:t xml:space="preserve">The primary evidence package includes service journals for the autoregressive and MTP benchmark windows. The normal </w:t>
      </w:r>
      <w:r>
        <w:t>journal supplies baseline engine metrics and request chronology. The MTP journal additionally records SpecDecoding metrics such as mean acceptance length, accepted and drafted throughput, accepted and drafted token counts, per-position acceptance rates, an</w:t>
      </w:r>
      <w:r>
        <w:t>d average draft acceptance rate.</w:t>
      </w:r>
    </w:p>
    <w:p w:rsidR="00B311E9" w:rsidRDefault="00CC7D10">
      <w:pPr>
        <w:rPr>
          <w:rFonts w:hint="eastAsia"/>
        </w:rPr>
      </w:pPr>
      <w:r>
        <w:t>Observed service windows showed acceptance behavior changing across workload segments, including mean acceptance lengths above two and average draft acceptance rates ranging from roughly sixty percent to above eighty percen</w:t>
      </w:r>
      <w:r>
        <w:t>t. These values are supporting, windowed runtime evidence and must be aligned by timestamp before being attributed to a workload or request group.</w:t>
      </w:r>
    </w:p>
    <w:tbl>
      <w:tblPr>
        <w:tblW w:w="0" w:type="auto"/>
        <w:tblLook w:val="04A0" w:firstRow="1" w:lastRow="0" w:firstColumn="1" w:lastColumn="0" w:noHBand="0" w:noVBand="1"/>
      </w:tblPr>
      <w:tblGrid>
        <w:gridCol w:w="10224"/>
      </w:tblGrid>
      <w:tr w:rsidR="00B311E9">
        <w:tc>
          <w:tcPr>
            <w:tcW w:w="10224" w:type="dxa"/>
            <w:shd w:val="clear" w:color="auto" w:fill="FFF4E5"/>
            <w:tcMar>
              <w:top w:w="110" w:type="dxa"/>
              <w:left w:w="110" w:type="dxa"/>
              <w:bottom w:w="110" w:type="dxa"/>
              <w:right w:w="110" w:type="dxa"/>
            </w:tcMar>
            <w:vAlign w:val="center"/>
          </w:tcPr>
          <w:p w:rsidR="00B311E9" w:rsidRDefault="00CC7D10">
            <w:pPr>
              <w:spacing w:after="0"/>
              <w:rPr>
                <w:rFonts w:hint="eastAsia"/>
              </w:rPr>
            </w:pPr>
            <w:r>
              <w:rPr>
                <w:b/>
                <w:color w:val="7A4300"/>
                <w:sz w:val="19"/>
              </w:rPr>
              <w:t>Analysis hypothesis, not yet a conclusion: higher acceptance allows more sequence progress per verification i</w:t>
            </w:r>
            <w:r>
              <w:rPr>
                <w:b/>
                <w:color w:val="7A4300"/>
                <w:sz w:val="19"/>
              </w:rPr>
              <w:t>teration, while realized wall-clock speedup depends on draft cost, verification cost, kernel cadence, and workload trajectory.</w:t>
            </w:r>
          </w:p>
        </w:tc>
      </w:tr>
    </w:tbl>
    <w:p w:rsidR="00B311E9" w:rsidRDefault="00CC7D10">
      <w:pPr>
        <w:pStyle w:val="Heading1"/>
      </w:pPr>
      <w:r>
        <w:t>9. Environment and reproducibility evidence</w:t>
      </w:r>
    </w:p>
    <w:tbl>
      <w:tblPr>
        <w:tblW w:w="10910" w:type="dxa"/>
        <w:jc w:val="center"/>
        <w:tblLayout w:type="fixed"/>
        <w:tblLook w:val="04A0" w:firstRow="1" w:lastRow="0" w:firstColumn="1" w:lastColumn="0" w:noHBand="0" w:noVBand="1"/>
      </w:tblPr>
      <w:tblGrid>
        <w:gridCol w:w="2890"/>
        <w:gridCol w:w="2890"/>
        <w:gridCol w:w="5130"/>
      </w:tblGrid>
      <w:tr w:rsidR="00B311E9" w:rsidTr="00BF6374">
        <w:trPr>
          <w:trHeight w:val="487"/>
          <w:jc w:val="center"/>
        </w:trPr>
        <w:tc>
          <w:tcPr>
            <w:tcW w:w="2890"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Reproducibility item</w:t>
            </w:r>
          </w:p>
        </w:tc>
        <w:tc>
          <w:tcPr>
            <w:tcW w:w="2890" w:type="dxa"/>
            <w:shd w:val="clear" w:color="auto" w:fill="17365D"/>
            <w:tcMar>
              <w:top w:w="110" w:type="dxa"/>
              <w:left w:w="110" w:type="dxa"/>
              <w:bottom w:w="110" w:type="dxa"/>
              <w:right w:w="110" w:type="dxa"/>
            </w:tcMar>
            <w:vAlign w:val="center"/>
          </w:tcPr>
          <w:p w:rsidR="00B311E9" w:rsidRDefault="00CC7D10">
            <w:pPr>
              <w:spacing w:after="0"/>
              <w:jc w:val="center"/>
              <w:rPr>
                <w:rFonts w:hint="eastAsia"/>
              </w:rPr>
            </w:pPr>
            <w:r>
              <w:rPr>
                <w:b/>
                <w:color w:val="FFFFFF"/>
                <w:sz w:val="17"/>
              </w:rPr>
              <w:t>Status</w:t>
            </w:r>
          </w:p>
        </w:tc>
        <w:tc>
          <w:tcPr>
            <w:tcW w:w="5130"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Recorded state</w:t>
            </w:r>
          </w:p>
        </w:tc>
      </w:tr>
      <w:tr w:rsidR="00B311E9" w:rsidTr="00BF6374">
        <w:trPr>
          <w:trHeight w:val="455"/>
          <w:jc w:val="center"/>
        </w:trPr>
        <w:tc>
          <w:tcPr>
            <w:tcW w:w="289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lastRenderedPageBreak/>
              <w:t>Operating system</w:t>
            </w:r>
          </w:p>
        </w:tc>
        <w:tc>
          <w:tcPr>
            <w:tcW w:w="289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13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Red Hat Enterpri</w:t>
            </w:r>
            <w:r>
              <w:rPr>
                <w:color w:val="1F2937"/>
                <w:sz w:val="16"/>
              </w:rPr>
              <w:t>se Linux 9.8 (Plow).</w:t>
            </w:r>
          </w:p>
        </w:tc>
      </w:tr>
      <w:tr w:rsidR="00B311E9" w:rsidTr="00BF6374">
        <w:trPr>
          <w:trHeight w:val="455"/>
          <w:jc w:val="center"/>
        </w:trPr>
        <w:tc>
          <w:tcPr>
            <w:tcW w:w="289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Kernel</w:t>
            </w:r>
          </w:p>
        </w:tc>
        <w:tc>
          <w:tcPr>
            <w:tcW w:w="2890"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13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Linux 5.14.0-687.45.1.el9_8.x86_64.</w:t>
            </w:r>
          </w:p>
        </w:tc>
      </w:tr>
      <w:tr w:rsidR="00B311E9" w:rsidTr="00BF6374">
        <w:trPr>
          <w:trHeight w:val="422"/>
          <w:jc w:val="center"/>
        </w:trPr>
        <w:tc>
          <w:tcPr>
            <w:tcW w:w="289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GPU software</w:t>
            </w:r>
          </w:p>
        </w:tc>
        <w:tc>
          <w:tcPr>
            <w:tcW w:w="289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13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NVIDIA driver 595.71.05; reported CUDA version 13.2.</w:t>
            </w:r>
          </w:p>
        </w:tc>
      </w:tr>
      <w:tr w:rsidR="00B311E9" w:rsidTr="00BF6374">
        <w:trPr>
          <w:trHeight w:val="455"/>
          <w:jc w:val="center"/>
        </w:trPr>
        <w:tc>
          <w:tcPr>
            <w:tcW w:w="289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vLLM runtime</w:t>
            </w:r>
          </w:p>
        </w:tc>
        <w:tc>
          <w:tcPr>
            <w:tcW w:w="2890"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13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vLLM 0.24.0 in the controlled Python environment.</w:t>
            </w:r>
          </w:p>
        </w:tc>
      </w:tr>
      <w:tr w:rsidR="00B311E9" w:rsidTr="00BF6374">
        <w:trPr>
          <w:trHeight w:val="879"/>
          <w:jc w:val="center"/>
        </w:trPr>
        <w:tc>
          <w:tcPr>
            <w:tcW w:w="289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Environment manifest</w:t>
            </w:r>
          </w:p>
        </w:tc>
        <w:tc>
          <w:tcPr>
            <w:tcW w:w="289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COMPLETE</w:t>
            </w:r>
          </w:p>
        </w:tc>
        <w:tc>
          <w:tcPr>
            <w:tcW w:w="513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primary/environment_primary.txt retained with OS, kernel, GPU, Python, package, and profiler information.</w:t>
            </w:r>
          </w:p>
        </w:tc>
      </w:tr>
      <w:tr w:rsidR="00B311E9" w:rsidTr="00BF6374">
        <w:trPr>
          <w:trHeight w:val="879"/>
          <w:jc w:val="center"/>
        </w:trPr>
        <w:tc>
          <w:tcPr>
            <w:tcW w:w="289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Service definitions</w:t>
            </w:r>
          </w:p>
        </w:tc>
        <w:tc>
          <w:tcPr>
            <w:tcW w:w="2890"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513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Normal, MTP, Torch-normal, and Torch-MTP units exported for sanitization and publication.</w:t>
            </w:r>
          </w:p>
        </w:tc>
      </w:tr>
      <w:tr w:rsidR="00B311E9" w:rsidTr="00BF6374">
        <w:trPr>
          <w:trHeight w:val="455"/>
          <w:jc w:val="center"/>
        </w:trPr>
        <w:tc>
          <w:tcPr>
            <w:tcW w:w="289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Protocol integrity</w:t>
            </w:r>
          </w:p>
        </w:tc>
        <w:tc>
          <w:tcPr>
            <w:tcW w:w="289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513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protocol_v1.2.yaml paired with protocol_v1.2.sha256.</w:t>
            </w:r>
          </w:p>
        </w:tc>
      </w:tr>
    </w:tbl>
    <w:p w:rsidR="00B311E9" w:rsidRDefault="00CC7D10">
      <w:pPr>
        <w:pStyle w:val="Heading1"/>
      </w:pPr>
      <w:r>
        <w:t>10. Archive and integrity gate</w:t>
      </w:r>
    </w:p>
    <w:p w:rsidR="00B311E9" w:rsidRDefault="00CC7D10">
      <w:pPr>
        <w:pStyle w:val="CodeBlock"/>
        <w:keepLines/>
        <w:rPr>
          <w:rFonts w:hint="eastAsia"/>
        </w:rPr>
      </w:pPr>
      <w:r>
        <w:t>Archive:</w:t>
      </w:r>
      <w:r>
        <w:br/>
        <w:t xml:space="preserve">  gpu_profiling_primary_collection_v1.2_2026-09-10.tar.gz</w:t>
      </w:r>
      <w:r>
        <w:br/>
      </w:r>
      <w:r>
        <w:br/>
        <w:t>Integrity record:</w:t>
      </w:r>
      <w:r>
        <w:br/>
        <w:t xml:space="preserve">  gpu_profiling_primary_collection_v1.2_2026-09-10.tar.gz.sha256</w:t>
      </w:r>
      <w:r>
        <w:br/>
      </w:r>
      <w:r>
        <w:br/>
        <w:t>Verification result</w:t>
      </w:r>
      <w:r>
        <w:t>:</w:t>
      </w:r>
      <w:r>
        <w:br/>
        <w:t xml:space="preserve">  gpu_profiling_primary_collection_v1.2_2026-09-10.tar.gz: OK</w:t>
      </w:r>
    </w:p>
    <w:p w:rsidR="00B311E9" w:rsidRDefault="00CC7D10">
      <w:pPr>
        <w:rPr>
          <w:rFonts w:hint="eastAsia"/>
        </w:rPr>
      </w:pPr>
      <w:r>
        <w:t>The complete collection archive includes the project workspace and therefore preserves the primary CSV, 360 benchmark run artifacts, warm-ups, service logs, environment manifest, six final Nsi</w:t>
      </w:r>
      <w:r>
        <w:t>ght reports, six Nsight SQLite exports, six Torch worker traces, six Torch frontend traces, condition-level text summaries, profiler client correlation artifacts, protocol, checksums, and orchestration scripts.</w:t>
      </w:r>
    </w:p>
    <w:p w:rsidR="00B311E9" w:rsidRDefault="00CC7D10">
      <w:pPr>
        <w:pStyle w:val="Heading1"/>
      </w:pPr>
      <w:r>
        <w:t>11. Nsight Compute decision</w:t>
      </w:r>
    </w:p>
    <w:p w:rsidR="00B311E9" w:rsidRDefault="00CC7D10">
      <w:pPr>
        <w:rPr>
          <w:rFonts w:hint="eastAsia"/>
        </w:rPr>
      </w:pPr>
      <w:r>
        <w:t>Nsight Compute is</w:t>
      </w:r>
      <w:r>
        <w:t xml:space="preserve"> not a mandatory primary-collection layer. The earlier FMHA learning capture validated the selected-kernel workflow and exposed duration, throughput, launch configuration, register pressure, and occupancy behavior. Additional NCU collection is deferred unt</w:t>
      </w:r>
      <w:r>
        <w:t>il the comparative Nsight analysis identifies a specific kernel whose hardware behavior is necessary to explain an unresolved normal-versus-MTP difference.</w:t>
      </w:r>
    </w:p>
    <w:p w:rsidR="00B311E9" w:rsidRDefault="00CC7D10">
      <w:pPr>
        <w:pStyle w:val="CodeBlock"/>
        <w:keepLines/>
        <w:rPr>
          <w:rFonts w:hint="eastAsia"/>
        </w:rPr>
      </w:pPr>
      <w:r>
        <w:t>Benchmark difference</w:t>
      </w:r>
      <w:r>
        <w:br/>
        <w:t xml:space="preserve">  -&gt; Nsight Systems execution difference</w:t>
      </w:r>
      <w:r>
        <w:br/>
        <w:t xml:space="preserve">  -&gt; PyTorch operator context</w:t>
      </w:r>
      <w:r>
        <w:br/>
        <w:t xml:space="preserve">  -&gt; opt</w:t>
      </w:r>
      <w:r>
        <w:t>ional Nsight Compute hardware explanation</w:t>
      </w:r>
    </w:p>
    <w:p w:rsidR="00B311E9" w:rsidRDefault="00CC7D10">
      <w:pPr>
        <w:pStyle w:val="Heading1"/>
      </w:pPr>
      <w:r>
        <w:t>12. Authoritative evidence hierarchy</w:t>
      </w:r>
    </w:p>
    <w:tbl>
      <w:tblPr>
        <w:tblW w:w="10686" w:type="dxa"/>
        <w:jc w:val="center"/>
        <w:tblLayout w:type="fixed"/>
        <w:tblLook w:val="04A0" w:firstRow="1" w:lastRow="0" w:firstColumn="1" w:lastColumn="0" w:noHBand="0" w:noVBand="1"/>
      </w:tblPr>
      <w:tblGrid>
        <w:gridCol w:w="2831"/>
        <w:gridCol w:w="2831"/>
        <w:gridCol w:w="5024"/>
      </w:tblGrid>
      <w:tr w:rsidR="00B311E9" w:rsidTr="007531E1">
        <w:trPr>
          <w:trHeight w:val="328"/>
          <w:jc w:val="center"/>
        </w:trPr>
        <w:tc>
          <w:tcPr>
            <w:tcW w:w="2831"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Evidence layer</w:t>
            </w:r>
          </w:p>
        </w:tc>
        <w:tc>
          <w:tcPr>
            <w:tcW w:w="2831" w:type="dxa"/>
            <w:shd w:val="clear" w:color="auto" w:fill="17365D"/>
            <w:tcMar>
              <w:top w:w="110" w:type="dxa"/>
              <w:left w:w="110" w:type="dxa"/>
              <w:bottom w:w="110" w:type="dxa"/>
              <w:right w:w="110" w:type="dxa"/>
            </w:tcMar>
            <w:vAlign w:val="center"/>
          </w:tcPr>
          <w:p w:rsidR="00B311E9" w:rsidRDefault="00CC7D10">
            <w:pPr>
              <w:spacing w:after="0"/>
              <w:jc w:val="center"/>
              <w:rPr>
                <w:rFonts w:hint="eastAsia"/>
              </w:rPr>
            </w:pPr>
            <w:r>
              <w:rPr>
                <w:b/>
                <w:color w:val="FFFFFF"/>
                <w:sz w:val="17"/>
              </w:rPr>
              <w:t>Status</w:t>
            </w:r>
          </w:p>
        </w:tc>
        <w:tc>
          <w:tcPr>
            <w:tcW w:w="5024"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Scientific role</w:t>
            </w:r>
          </w:p>
        </w:tc>
      </w:tr>
      <w:tr w:rsidR="00B311E9" w:rsidTr="007531E1">
        <w:trPr>
          <w:trHeight w:val="591"/>
          <w:jc w:val="center"/>
        </w:trPr>
        <w:tc>
          <w:tcPr>
            <w:tcW w:w="2831"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Primary CSV</w:t>
            </w:r>
          </w:p>
        </w:tc>
        <w:tc>
          <w:tcPr>
            <w:tcW w:w="2831"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024"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Authoritative quantitative source for latency, phase timing, tokens, throughput, validity, and finish reason.</w:t>
            </w:r>
          </w:p>
        </w:tc>
      </w:tr>
      <w:tr w:rsidR="00B311E9" w:rsidTr="007531E1">
        <w:trPr>
          <w:trHeight w:val="569"/>
          <w:jc w:val="center"/>
        </w:trPr>
        <w:tc>
          <w:tcPr>
            <w:tcW w:w="2831"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Per-run </w:t>
            </w:r>
            <w:r>
              <w:rPr>
                <w:color w:val="1F2937"/>
                <w:sz w:val="16"/>
              </w:rPr>
              <w:t>JSON artifacts</w:t>
            </w:r>
          </w:p>
        </w:tc>
        <w:tc>
          <w:tcPr>
            <w:tcW w:w="2831"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024"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Authoritative request payload, stream-event, reconstructed-output, and timestamp evidence.</w:t>
            </w:r>
          </w:p>
        </w:tc>
      </w:tr>
      <w:tr w:rsidR="00B311E9" w:rsidTr="007531E1">
        <w:trPr>
          <w:trHeight w:val="591"/>
          <w:jc w:val="center"/>
        </w:trPr>
        <w:tc>
          <w:tcPr>
            <w:tcW w:w="2831"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lastRenderedPageBreak/>
              <w:t>Service journals</w:t>
            </w:r>
          </w:p>
        </w:tc>
        <w:tc>
          <w:tcPr>
            <w:tcW w:w="2831"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024"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Supporting runtime context and MTP acceptance metrics; windowed rather than per-request by default.</w:t>
            </w:r>
          </w:p>
        </w:tc>
      </w:tr>
      <w:tr w:rsidR="00B311E9" w:rsidTr="007531E1">
        <w:trPr>
          <w:trHeight w:val="591"/>
          <w:jc w:val="center"/>
        </w:trPr>
        <w:tc>
          <w:tcPr>
            <w:tcW w:w="2831"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Nsight Systems</w:t>
            </w:r>
          </w:p>
        </w:tc>
        <w:tc>
          <w:tcPr>
            <w:tcW w:w="2831"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024"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Primary cross-process explanation of decode cadence, CUDA launches, GPU gaps, and kernel composition.</w:t>
            </w:r>
          </w:p>
        </w:tc>
      </w:tr>
      <w:tr w:rsidR="00B311E9" w:rsidTr="007531E1">
        <w:trPr>
          <w:trHeight w:val="591"/>
          <w:jc w:val="center"/>
        </w:trPr>
        <w:tc>
          <w:tcPr>
            <w:tcW w:w="2831"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PyTorch Profiler</w:t>
            </w:r>
          </w:p>
        </w:tc>
        <w:tc>
          <w:tcPr>
            <w:tcW w:w="2831"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5024"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Supporting operator hierarchy, stack, shape, EngineCore iteration, and CUDA association evidence.</w:t>
            </w:r>
          </w:p>
        </w:tc>
      </w:tr>
      <w:tr w:rsidR="00B311E9" w:rsidTr="007531E1">
        <w:trPr>
          <w:trHeight w:val="306"/>
          <w:jc w:val="center"/>
        </w:trPr>
        <w:tc>
          <w:tcPr>
            <w:tcW w:w="2831"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Nsight Compute</w:t>
            </w:r>
          </w:p>
        </w:tc>
        <w:tc>
          <w:tcPr>
            <w:tcW w:w="2831"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B54708"/>
                <w:sz w:val="16"/>
              </w:rPr>
              <w:t>OPTIONAL</w:t>
            </w:r>
          </w:p>
        </w:tc>
        <w:tc>
          <w:tcPr>
            <w:tcW w:w="5024"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Selected-kernel hardware counters only when justified by comparative findings.</w:t>
            </w:r>
          </w:p>
        </w:tc>
      </w:tr>
    </w:tbl>
    <w:p w:rsidR="00B311E9" w:rsidRDefault="00CC7D10">
      <w:pPr>
        <w:pStyle w:val="Heading1"/>
      </w:pPr>
      <w:r>
        <w:t>13. Analysis plan and investigation index</w:t>
      </w:r>
    </w:p>
    <w:tbl>
      <w:tblPr>
        <w:tblW w:w="10626" w:type="dxa"/>
        <w:jc w:val="center"/>
        <w:tblLayout w:type="fixed"/>
        <w:tblLook w:val="04A0" w:firstRow="1" w:lastRow="0" w:firstColumn="1" w:lastColumn="0" w:noHBand="0" w:noVBand="1"/>
      </w:tblPr>
      <w:tblGrid>
        <w:gridCol w:w="2815"/>
        <w:gridCol w:w="2815"/>
        <w:gridCol w:w="4996"/>
      </w:tblGrid>
      <w:tr w:rsidR="00B311E9" w:rsidTr="00A239B2">
        <w:trPr>
          <w:trHeight w:val="210"/>
          <w:jc w:val="center"/>
        </w:trPr>
        <w:tc>
          <w:tcPr>
            <w:tcW w:w="2815"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Investigation</w:t>
            </w:r>
          </w:p>
        </w:tc>
        <w:tc>
          <w:tcPr>
            <w:tcW w:w="2815" w:type="dxa"/>
            <w:shd w:val="clear" w:color="auto" w:fill="17365D"/>
            <w:tcMar>
              <w:top w:w="110" w:type="dxa"/>
              <w:left w:w="110" w:type="dxa"/>
              <w:bottom w:w="110" w:type="dxa"/>
              <w:right w:w="110" w:type="dxa"/>
            </w:tcMar>
            <w:vAlign w:val="center"/>
          </w:tcPr>
          <w:p w:rsidR="00B311E9" w:rsidRDefault="00CC7D10">
            <w:pPr>
              <w:spacing w:after="0"/>
              <w:jc w:val="center"/>
              <w:rPr>
                <w:rFonts w:hint="eastAsia"/>
              </w:rPr>
            </w:pPr>
            <w:r>
              <w:rPr>
                <w:b/>
                <w:color w:val="FFFFFF"/>
                <w:sz w:val="17"/>
              </w:rPr>
              <w:t>Status</w:t>
            </w:r>
          </w:p>
        </w:tc>
        <w:tc>
          <w:tcPr>
            <w:tcW w:w="4996"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Next analytical question</w:t>
            </w:r>
          </w:p>
        </w:tc>
      </w:tr>
      <w:tr w:rsidR="00B311E9" w:rsidTr="00A239B2">
        <w:trPr>
          <w:trHeight w:val="378"/>
          <w:jc w:val="center"/>
        </w:trPr>
        <w:tc>
          <w:tcPr>
            <w:tcW w:w="2815"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Responsiveness</w:t>
            </w:r>
          </w:p>
        </w:tc>
        <w:tc>
          <w:tcPr>
            <w:tcW w:w="2815"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Compare prompt-matched TTFO distributions and separate </w:t>
            </w:r>
            <w:r>
              <w:rPr>
                <w:color w:val="1F2937"/>
                <w:sz w:val="16"/>
              </w:rPr>
              <w:t>prefill/first-output effects from decode throughput.</w:t>
            </w:r>
          </w:p>
        </w:tc>
      </w:tr>
      <w:tr w:rsidR="00B311E9" w:rsidTr="00A239B2">
        <w:trPr>
          <w:trHeight w:val="364"/>
          <w:jc w:val="center"/>
        </w:trPr>
        <w:tc>
          <w:tcPr>
            <w:tcW w:w="2815"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End-to-end performance</w:t>
            </w:r>
          </w:p>
        </w:tc>
        <w:tc>
          <w:tcPr>
            <w:tcW w:w="2815"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Compute medians, means, spread, effect sizes, confidence intervals, and MTP speedup factors.</w:t>
            </w:r>
          </w:p>
        </w:tc>
      </w:tr>
      <w:tr w:rsidR="00B311E9" w:rsidTr="00A239B2">
        <w:trPr>
          <w:trHeight w:val="196"/>
          <w:jc w:val="center"/>
        </w:trPr>
        <w:tc>
          <w:tcPr>
            <w:tcW w:w="2815"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Trajectory control</w:t>
            </w:r>
          </w:p>
        </w:tc>
        <w:tc>
          <w:tcPr>
            <w:tcW w:w="2815"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Interpret E2E latency beside completion length, finish</w:t>
            </w:r>
            <w:r>
              <w:rPr>
                <w:color w:val="1F2937"/>
                <w:sz w:val="16"/>
              </w:rPr>
              <w:t xml:space="preserve"> reason, and output validity.</w:t>
            </w:r>
          </w:p>
        </w:tc>
      </w:tr>
      <w:tr w:rsidR="00B311E9" w:rsidTr="00A239B2">
        <w:trPr>
          <w:trHeight w:val="378"/>
          <w:jc w:val="center"/>
        </w:trPr>
        <w:tc>
          <w:tcPr>
            <w:tcW w:w="2815"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Semantic phases</w:t>
            </w:r>
          </w:p>
        </w:tc>
        <w:tc>
          <w:tcPr>
            <w:tcW w:w="2815"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Compare reasoning-associated and final/tool-associated durations using completed valid outputs.</w:t>
            </w:r>
          </w:p>
        </w:tc>
      </w:tr>
      <w:tr w:rsidR="00B311E9" w:rsidTr="00A239B2">
        <w:trPr>
          <w:trHeight w:val="378"/>
          <w:jc w:val="center"/>
        </w:trPr>
        <w:tc>
          <w:tcPr>
            <w:tcW w:w="2815"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Speculative utility</w:t>
            </w:r>
          </w:p>
        </w:tc>
        <w:tc>
          <w:tcPr>
            <w:tcW w:w="2815"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Relate acceptance length and per-position acceptance to observed token </w:t>
            </w:r>
            <w:r>
              <w:rPr>
                <w:color w:val="1F2937"/>
                <w:sz w:val="16"/>
              </w:rPr>
              <w:t>productivity.</w:t>
            </w:r>
          </w:p>
        </w:tc>
      </w:tr>
      <w:tr w:rsidR="00B311E9" w:rsidTr="00A239B2">
        <w:trPr>
          <w:trHeight w:val="378"/>
          <w:jc w:val="center"/>
        </w:trPr>
        <w:tc>
          <w:tcPr>
            <w:tcW w:w="2815"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Decode cadence</w:t>
            </w:r>
          </w:p>
        </w:tc>
        <w:tc>
          <w:tcPr>
            <w:tcW w:w="2815"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Compare repeated execution groups, graph launches, iteration count, and CPU-GPU gaps in matched Nsys traces.</w:t>
            </w:r>
          </w:p>
        </w:tc>
      </w:tr>
      <w:tr w:rsidR="00B311E9" w:rsidTr="00A239B2">
        <w:trPr>
          <w:trHeight w:val="378"/>
          <w:jc w:val="center"/>
        </w:trPr>
        <w:tc>
          <w:tcPr>
            <w:tcW w:w="2815"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Kernel composition</w:t>
            </w:r>
          </w:p>
        </w:tc>
        <w:tc>
          <w:tcPr>
            <w:tcW w:w="2815"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Compare kernel-family instances, total time, per-instance duration, and GPU-time </w:t>
            </w:r>
            <w:r>
              <w:rPr>
                <w:color w:val="1F2937"/>
                <w:sz w:val="16"/>
              </w:rPr>
              <w:t>share.</w:t>
            </w:r>
          </w:p>
        </w:tc>
      </w:tr>
      <w:tr w:rsidR="00B311E9" w:rsidTr="00A239B2">
        <w:trPr>
          <w:trHeight w:val="378"/>
          <w:jc w:val="center"/>
        </w:trPr>
        <w:tc>
          <w:tcPr>
            <w:tcW w:w="2815"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Operator context</w:t>
            </w:r>
          </w:p>
        </w:tc>
        <w:tc>
          <w:tcPr>
            <w:tcW w:w="2815"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Use matched rank0 traces to identify higher-level proposal, verification, and model execution structure.</w:t>
            </w:r>
          </w:p>
        </w:tc>
      </w:tr>
      <w:tr w:rsidR="00B311E9" w:rsidTr="00A239B2">
        <w:trPr>
          <w:trHeight w:val="378"/>
          <w:jc w:val="center"/>
        </w:trPr>
        <w:tc>
          <w:tcPr>
            <w:tcW w:w="2815"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Validity behavior</w:t>
            </w:r>
          </w:p>
        </w:tc>
        <w:tc>
          <w:tcPr>
            <w:tcW w:w="2815"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Report truncation and strict-answer mismatch rates by mode and prompt without deleting </w:t>
            </w:r>
            <w:r>
              <w:rPr>
                <w:color w:val="1F2937"/>
                <w:sz w:val="16"/>
              </w:rPr>
              <w:t>attempts.</w:t>
            </w:r>
          </w:p>
        </w:tc>
      </w:tr>
      <w:tr w:rsidR="00B311E9" w:rsidTr="00A239B2">
        <w:trPr>
          <w:trHeight w:val="378"/>
          <w:jc w:val="center"/>
        </w:trPr>
        <w:tc>
          <w:tcPr>
            <w:tcW w:w="2815"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NCU escalation</w:t>
            </w:r>
          </w:p>
        </w:tc>
        <w:tc>
          <w:tcPr>
            <w:tcW w:w="2815"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READY</w:t>
            </w:r>
          </w:p>
        </w:tc>
        <w:tc>
          <w:tcPr>
            <w:tcW w:w="4996"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Select a comparative kernel only if timeline and operator evidence leave a hardware-level question unresolved.</w:t>
            </w:r>
          </w:p>
        </w:tc>
      </w:tr>
    </w:tbl>
    <w:p w:rsidR="00B311E9" w:rsidRDefault="00CC7D10">
      <w:pPr>
        <w:pStyle w:val="Heading1"/>
      </w:pPr>
      <w:r>
        <w:t>14. Paper production gate</w:t>
      </w:r>
    </w:p>
    <w:tbl>
      <w:tblPr>
        <w:tblW w:w="0" w:type="auto"/>
        <w:tblLook w:val="04A0" w:firstRow="1" w:lastRow="0" w:firstColumn="1" w:lastColumn="0" w:noHBand="0" w:noVBand="1"/>
      </w:tblPr>
      <w:tblGrid>
        <w:gridCol w:w="10224"/>
      </w:tblGrid>
      <w:tr w:rsidR="00B311E9">
        <w:tc>
          <w:tcPr>
            <w:tcW w:w="10224" w:type="dxa"/>
            <w:shd w:val="clear" w:color="auto" w:fill="E8F5ED"/>
            <w:tcMar>
              <w:top w:w="110" w:type="dxa"/>
              <w:left w:w="110" w:type="dxa"/>
              <w:bottom w:w="110" w:type="dxa"/>
              <w:right w:w="110" w:type="dxa"/>
            </w:tcMar>
            <w:vAlign w:val="center"/>
          </w:tcPr>
          <w:p w:rsidR="00B311E9" w:rsidRDefault="00CC7D10">
            <w:pPr>
              <w:spacing w:after="0"/>
              <w:rPr>
                <w:rFonts w:hint="eastAsia"/>
              </w:rPr>
            </w:pPr>
            <w:r>
              <w:rPr>
                <w:b/>
                <w:color w:val="107C41"/>
                <w:sz w:val="19"/>
              </w:rPr>
              <w:t>ADMITTED TO ANALYSIS AND PAPER PRODUCTION: routine evidence collection is closed. Intr</w:t>
            </w:r>
            <w:r>
              <w:rPr>
                <w:b/>
                <w:color w:val="107C41"/>
                <w:sz w:val="19"/>
              </w:rPr>
              <w:t>oduction, background, related work, methodology, experimental setup, artifact availability, and threats to validity may now be drafted from frozen evidence. Results, execution analysis, discussion, and conclusion must be written from the completed statisti</w:t>
            </w:r>
            <w:r>
              <w:rPr>
                <w:b/>
                <w:color w:val="107C41"/>
                <w:sz w:val="19"/>
              </w:rPr>
              <w:t>cal and profiler analyses.</w:t>
            </w:r>
          </w:p>
        </w:tc>
      </w:tr>
    </w:tbl>
    <w:p w:rsidR="00B311E9" w:rsidRDefault="00CC7D10">
      <w:pPr>
        <w:pStyle w:val="ListNumber"/>
        <w:rPr>
          <w:rFonts w:hint="eastAsia"/>
        </w:rPr>
      </w:pPr>
      <w:r>
        <w:t>Preserve an immutable WSL copy of the verified primary archive and checksum.</w:t>
      </w:r>
    </w:p>
    <w:p w:rsidR="00B311E9" w:rsidRDefault="00CC7D10">
      <w:pPr>
        <w:pStyle w:val="ListNumber"/>
        <w:rPr>
          <w:rFonts w:hint="eastAsia"/>
        </w:rPr>
      </w:pPr>
      <w:r>
        <w:t>Build the prompt-matched statistical dataset, validity filters, summary tables, plots, effect sizes, and confidence intervals.</w:t>
      </w:r>
    </w:p>
    <w:p w:rsidR="00B311E9" w:rsidRDefault="00CC7D10">
      <w:pPr>
        <w:pStyle w:val="ListNumber"/>
        <w:rPr>
          <w:rFonts w:hint="eastAsia"/>
        </w:rPr>
      </w:pPr>
      <w:r>
        <w:t xml:space="preserve">Align MTP service </w:t>
      </w:r>
      <w:r>
        <w:t>metrics with workload execution windows and quantify acceptance behavior.</w:t>
      </w:r>
    </w:p>
    <w:p w:rsidR="00B311E9" w:rsidRDefault="00CC7D10">
      <w:pPr>
        <w:pStyle w:val="ListNumber"/>
        <w:rPr>
          <w:rFonts w:hint="eastAsia"/>
        </w:rPr>
      </w:pPr>
      <w:r>
        <w:t>Compare kernel families from the six Nsight SQLite files and inspect matched r100 timelines through NVTX boundaries.</w:t>
      </w:r>
    </w:p>
    <w:p w:rsidR="00B311E9" w:rsidRDefault="00CC7D10">
      <w:pPr>
        <w:pStyle w:val="ListNumber"/>
        <w:rPr>
          <w:rFonts w:hint="eastAsia"/>
        </w:rPr>
      </w:pPr>
      <w:r>
        <w:t>Inspect matched rank0 PyTorch traces for operator, proposal, veri</w:t>
      </w:r>
      <w:r>
        <w:t>fication, and iteration structure.</w:t>
      </w:r>
    </w:p>
    <w:p w:rsidR="00B311E9" w:rsidRDefault="00CC7D10">
      <w:pPr>
        <w:pStyle w:val="ListNumber"/>
        <w:rPr>
          <w:rFonts w:hint="eastAsia"/>
        </w:rPr>
      </w:pPr>
      <w:r>
        <w:t>Use NCU only if a selected kernel merits hardware-counter analysis.</w:t>
      </w:r>
    </w:p>
    <w:p w:rsidR="00B311E9" w:rsidRDefault="00CC7D10">
      <w:pPr>
        <w:pStyle w:val="ListNumber"/>
        <w:rPr>
          <w:rFonts w:hint="eastAsia"/>
        </w:rPr>
      </w:pPr>
      <w:r>
        <w:t>Create the Overleaf paper and curate a sanitized public artifact under 02-multi-token-prediction-gpu-profiling.</w:t>
      </w:r>
    </w:p>
    <w:p w:rsidR="00B311E9" w:rsidRDefault="00CC7D10">
      <w:pPr>
        <w:rPr>
          <w:rFonts w:hint="eastAsia"/>
        </w:rPr>
      </w:pPr>
      <w:r>
        <w:br w:type="page"/>
      </w:r>
    </w:p>
    <w:p w:rsidR="00B311E9" w:rsidRDefault="00CC7D10">
      <w:pPr>
        <w:pStyle w:val="Heading1"/>
      </w:pPr>
      <w:r>
        <w:lastRenderedPageBreak/>
        <w:t>15. Checkpoint conclusion</w:t>
      </w:r>
    </w:p>
    <w:p w:rsidR="00B311E9" w:rsidRDefault="00CC7D10">
      <w:pPr>
        <w:rPr>
          <w:rFonts w:hint="eastAsia"/>
        </w:rPr>
      </w:pPr>
      <w:r>
        <w:t xml:space="preserve">Checkpoint </w:t>
      </w:r>
      <w:r>
        <w:t>3.0 closes primary experiment collection. The frozen evidence comprises the balanced 360-attempt benchmark, transparent validity outcomes, six matched Nsight Systems reports, six matched PyTorch Profiler packages, validated profiler targets, runtime journa</w:t>
      </w:r>
      <w:r>
        <w:t>ls, the environment manifest, deployment definitions, and a checksum-verified archive. Routine collection is complete. The next phase is to quantify the performance effect, explain workload-specific execution differences, use NCU only if justified, and con</w:t>
      </w:r>
      <w:r>
        <w:t>vert the evidence into Beneath the Tokens.</w:t>
      </w:r>
    </w:p>
    <w:tbl>
      <w:tblPr>
        <w:tblW w:w="10533" w:type="dxa"/>
        <w:jc w:val="center"/>
        <w:tblLayout w:type="fixed"/>
        <w:tblLook w:val="04A0" w:firstRow="1" w:lastRow="0" w:firstColumn="1" w:lastColumn="0" w:noHBand="0" w:noVBand="1"/>
      </w:tblPr>
      <w:tblGrid>
        <w:gridCol w:w="2790"/>
        <w:gridCol w:w="2790"/>
        <w:gridCol w:w="4953"/>
      </w:tblGrid>
      <w:tr w:rsidR="00B311E9" w:rsidTr="003E1007">
        <w:trPr>
          <w:trHeight w:val="223"/>
          <w:jc w:val="center"/>
        </w:trPr>
        <w:tc>
          <w:tcPr>
            <w:tcW w:w="2790"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Final gate item</w:t>
            </w:r>
          </w:p>
        </w:tc>
        <w:tc>
          <w:tcPr>
            <w:tcW w:w="2790" w:type="dxa"/>
            <w:shd w:val="clear" w:color="auto" w:fill="17365D"/>
            <w:tcMar>
              <w:top w:w="110" w:type="dxa"/>
              <w:left w:w="110" w:type="dxa"/>
              <w:bottom w:w="110" w:type="dxa"/>
              <w:right w:w="110" w:type="dxa"/>
            </w:tcMar>
            <w:vAlign w:val="center"/>
          </w:tcPr>
          <w:p w:rsidR="00B311E9" w:rsidRDefault="00CC7D10">
            <w:pPr>
              <w:spacing w:after="0"/>
              <w:jc w:val="center"/>
              <w:rPr>
                <w:rFonts w:hint="eastAsia"/>
              </w:rPr>
            </w:pPr>
            <w:r>
              <w:rPr>
                <w:b/>
                <w:color w:val="FFFFFF"/>
                <w:sz w:val="17"/>
              </w:rPr>
              <w:t>Status</w:t>
            </w:r>
          </w:p>
        </w:tc>
        <w:tc>
          <w:tcPr>
            <w:tcW w:w="4953" w:type="dxa"/>
            <w:shd w:val="clear" w:color="auto" w:fill="17365D"/>
            <w:tcMar>
              <w:top w:w="110" w:type="dxa"/>
              <w:left w:w="110" w:type="dxa"/>
              <w:bottom w:w="110" w:type="dxa"/>
              <w:right w:w="110" w:type="dxa"/>
            </w:tcMar>
            <w:vAlign w:val="center"/>
          </w:tcPr>
          <w:p w:rsidR="00B311E9" w:rsidRDefault="00CC7D10">
            <w:pPr>
              <w:spacing w:after="0"/>
              <w:rPr>
                <w:rFonts w:hint="eastAsia"/>
              </w:rPr>
            </w:pPr>
            <w:r>
              <w:rPr>
                <w:b/>
                <w:color w:val="FFFFFF"/>
                <w:sz w:val="17"/>
              </w:rPr>
              <w:t>Checkpoint 3.0 outcome</w:t>
            </w:r>
          </w:p>
        </w:tc>
      </w:tr>
      <w:tr w:rsidR="00B311E9" w:rsidTr="003E1007">
        <w:trPr>
          <w:trHeight w:val="193"/>
          <w:jc w:val="center"/>
        </w:trPr>
        <w:tc>
          <w:tcPr>
            <w:tcW w:w="279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Clean benchmark</w:t>
            </w:r>
          </w:p>
        </w:tc>
        <w:tc>
          <w:tcPr>
            <w:tcW w:w="279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4953"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360 balanced attempts; 349 fully valid; 11 retained output exclusions.</w:t>
            </w:r>
          </w:p>
        </w:tc>
      </w:tr>
      <w:tr w:rsidR="00B311E9" w:rsidTr="003E1007">
        <w:trPr>
          <w:trHeight w:val="208"/>
          <w:jc w:val="center"/>
        </w:trPr>
        <w:tc>
          <w:tcPr>
            <w:tcW w:w="279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Nsight Systems</w:t>
            </w:r>
          </w:p>
        </w:tc>
        <w:tc>
          <w:tcPr>
            <w:tcW w:w="2790"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4953"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Six matched r100 reports plus six SQLite analysis</w:t>
            </w:r>
            <w:r>
              <w:rPr>
                <w:color w:val="1F2937"/>
                <w:sz w:val="16"/>
              </w:rPr>
              <w:t xml:space="preserve"> exports.</w:t>
            </w:r>
          </w:p>
        </w:tc>
      </w:tr>
      <w:tr w:rsidR="00B311E9" w:rsidTr="003E1007">
        <w:trPr>
          <w:trHeight w:val="208"/>
          <w:jc w:val="center"/>
        </w:trPr>
        <w:tc>
          <w:tcPr>
            <w:tcW w:w="279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PyTorch Profiler</w:t>
            </w:r>
          </w:p>
        </w:tc>
        <w:tc>
          <w:tcPr>
            <w:tcW w:w="279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FROZEN</w:t>
            </w:r>
          </w:p>
        </w:tc>
        <w:tc>
          <w:tcPr>
            <w:tcW w:w="4953"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Six matched worker/frontend trace packages with condition-level summaries.</w:t>
            </w:r>
          </w:p>
        </w:tc>
      </w:tr>
      <w:tr w:rsidR="00B311E9" w:rsidTr="003E1007">
        <w:trPr>
          <w:trHeight w:val="208"/>
          <w:jc w:val="center"/>
        </w:trPr>
        <w:tc>
          <w:tcPr>
            <w:tcW w:w="2790"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Reproducibility archive</w:t>
            </w:r>
          </w:p>
        </w:tc>
        <w:tc>
          <w:tcPr>
            <w:tcW w:w="2790" w:type="dxa"/>
            <w:shd w:val="clear" w:color="auto" w:fill="FFFFFF"/>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PASS</w:t>
            </w:r>
          </w:p>
        </w:tc>
        <w:tc>
          <w:tcPr>
            <w:tcW w:w="4953" w:type="dxa"/>
            <w:shd w:val="clear" w:color="auto" w:fill="FFFFFF"/>
            <w:tcMar>
              <w:top w:w="110" w:type="dxa"/>
              <w:left w:w="110" w:type="dxa"/>
              <w:bottom w:w="110" w:type="dxa"/>
              <w:right w:w="110" w:type="dxa"/>
            </w:tcMar>
            <w:vAlign w:val="center"/>
          </w:tcPr>
          <w:p w:rsidR="00B311E9" w:rsidRDefault="00CC7D10">
            <w:pPr>
              <w:spacing w:after="0"/>
              <w:rPr>
                <w:rFonts w:hint="eastAsia"/>
              </w:rPr>
            </w:pPr>
            <w:r>
              <w:rPr>
                <w:color w:val="1F2937"/>
                <w:sz w:val="16"/>
              </w:rPr>
              <w:t>Full collection archive checksum verified and preserved for WSL transfer.</w:t>
            </w:r>
          </w:p>
        </w:tc>
      </w:tr>
      <w:tr w:rsidR="00B311E9" w:rsidTr="003E1007">
        <w:trPr>
          <w:trHeight w:val="208"/>
          <w:jc w:val="center"/>
        </w:trPr>
        <w:tc>
          <w:tcPr>
            <w:tcW w:w="2790"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Project phase</w:t>
            </w:r>
          </w:p>
        </w:tc>
        <w:tc>
          <w:tcPr>
            <w:tcW w:w="2790" w:type="dxa"/>
            <w:shd w:val="clear" w:color="auto" w:fill="F7F9FC"/>
            <w:tcMar>
              <w:top w:w="110" w:type="dxa"/>
              <w:left w:w="110" w:type="dxa"/>
              <w:bottom w:w="110" w:type="dxa"/>
              <w:right w:w="110" w:type="dxa"/>
            </w:tcMar>
            <w:vAlign w:val="center"/>
          </w:tcPr>
          <w:p w:rsidR="00B311E9" w:rsidRDefault="00CC7D10">
            <w:pPr>
              <w:spacing w:after="0"/>
              <w:jc w:val="center"/>
              <w:rPr>
                <w:rFonts w:hint="eastAsia"/>
              </w:rPr>
            </w:pPr>
            <w:r>
              <w:rPr>
                <w:b/>
                <w:color w:val="107C41"/>
                <w:sz w:val="16"/>
              </w:rPr>
              <w:t>ADMITTED</w:t>
            </w:r>
          </w:p>
        </w:tc>
        <w:tc>
          <w:tcPr>
            <w:tcW w:w="4953" w:type="dxa"/>
            <w:shd w:val="clear" w:color="auto" w:fill="F7F9FC"/>
            <w:tcMar>
              <w:top w:w="110" w:type="dxa"/>
              <w:left w:w="110" w:type="dxa"/>
              <w:bottom w:w="110" w:type="dxa"/>
              <w:right w:w="110" w:type="dxa"/>
            </w:tcMar>
            <w:vAlign w:val="center"/>
          </w:tcPr>
          <w:p w:rsidR="00B311E9" w:rsidRDefault="00CC7D10">
            <w:pPr>
              <w:spacing w:after="0"/>
              <w:rPr>
                <w:rFonts w:hint="eastAsia"/>
              </w:rPr>
            </w:pPr>
            <w:r>
              <w:rPr>
                <w:color w:val="1F2937"/>
                <w:sz w:val="16"/>
              </w:rPr>
              <w:t xml:space="preserve">Analysis, figure </w:t>
            </w:r>
            <w:r>
              <w:rPr>
                <w:color w:val="1F2937"/>
                <w:sz w:val="16"/>
              </w:rPr>
              <w:t>production, artifact curation, and paper writing.</w:t>
            </w:r>
          </w:p>
        </w:tc>
      </w:tr>
    </w:tbl>
    <w:p w:rsidR="00CC7D10" w:rsidRDefault="00CC7D10">
      <w:bookmarkStart w:id="0" w:name="_GoBack"/>
      <w:bookmarkEnd w:id="0"/>
    </w:p>
    <w:sectPr w:rsidR="00CC7D10" w:rsidSect="00034616">
      <w:headerReference w:type="default" r:id="rId8"/>
      <w:footerReference w:type="default" r:id="rId9"/>
      <w:pgSz w:w="12240" w:h="15840"/>
      <w:pgMar w:top="893" w:right="1008" w:bottom="893" w:left="1008"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7D10" w:rsidRDefault="00CC7D10">
      <w:pPr>
        <w:spacing w:after="0" w:line="240" w:lineRule="auto"/>
        <w:rPr>
          <w:rFonts w:hint="eastAsia"/>
        </w:rPr>
      </w:pPr>
      <w:r>
        <w:separator/>
      </w:r>
    </w:p>
  </w:endnote>
  <w:endnote w:type="continuationSeparator" w:id="0">
    <w:p w:rsidR="00CC7D10" w:rsidRDefault="00CC7D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11E9" w:rsidRDefault="00CC7D10">
    <w:pPr>
      <w:pStyle w:val="Footer"/>
      <w:jc w:val="right"/>
      <w:rPr>
        <w:rFonts w:hint="eastAsia"/>
      </w:rPr>
    </w:pPr>
    <w:r>
      <w:fldChar w:fldCharType="begin"/>
    </w:r>
    <w:r>
      <w:instrText>PAGE</w:instrText>
    </w:r>
    <w:r>
      <w:rPr>
        <w:rFonts w:hint="eastAsia"/>
      </w:rPr>
      <w:fldChar w:fldCharType="separate"/>
    </w:r>
    <w:r w:rsidR="00276E2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7D10" w:rsidRDefault="00CC7D10">
      <w:pPr>
        <w:spacing w:after="0" w:line="240" w:lineRule="auto"/>
        <w:rPr>
          <w:rFonts w:hint="eastAsia"/>
        </w:rPr>
      </w:pPr>
      <w:r>
        <w:separator/>
      </w:r>
    </w:p>
  </w:footnote>
  <w:footnote w:type="continuationSeparator" w:id="0">
    <w:p w:rsidR="00CC7D10" w:rsidRDefault="00CC7D1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11E9" w:rsidRDefault="00CC7D10">
    <w:pPr>
      <w:pStyle w:val="Header"/>
      <w:rPr>
        <w:rFonts w:hint="eastAsia"/>
      </w:rPr>
    </w:pPr>
    <w:r>
      <w:rPr>
        <w:color w:val="667085"/>
        <w:sz w:val="16"/>
      </w:rPr>
      <w:t>GPU Profiling Study  |  Checkpoint 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lassification" w:val="Confidential"/>
    <w:docVar w:name="ClassificationTagSetId" w:val="e16409a7-1700-4153-9090-3955bc2f0ae8"/>
    <w:docVar w:name="ComplianceTagSetId" w:val="f14fc1f1-8950-40d5-8a29-45909da947d6"/>
    <w:docVar w:name="FileId" w:val="0e5ffeb7-6677-490e-bbb4-2eb53609c9ca"/>
    <w:docVar w:name="GVData" w:val="eyJPUyI6IldpbmRvd3MiLCJkb2NJRCI6IjBlNWZmZWI3LTY2NzctNDkwZS1iYmI0LTJlYjUzNjA5YzljYSIsImRvY1N0YXRlIjoie30iLCJwYXJlbnRMaW5lSWRzIjoiW1wiZjg1MjNlZWUtMDc0Zi00OTU2LTk5OWItZmMyMDhlOTYyNmFiXCIsXCI4MDNkZDE1Ni1l"/>
    <w:docVar w:name="GVData0" w:val="YWJlLTRmZjAtYmJjYy00NGY1MmViOGVlNTlcIixcImQ4ZDBmZjFiLWI0NjQtNDM4My1hMWExLWNjYjNhNzcyNmY5ZlwiLFwiMTJlOWNiZmMtYTU2YS00Y2YwLThkMTYtZGY4OTBjODBhOGE2XCIsXCIzMGQwYmQwMS0zODUxLTQ2Y2EtYTU0MC1lZjFiOGQ0NWFmODlc"/>
    <w:docVar w:name="GVData1" w:val="IixcIjM3NmU2NGQ1LWFkNWQtNGM3MS04Y2VlLTY1YmYyYTQ1ODIzMFwiLFwiMzdjM2UzYTMtNDU2YS00ZjQ4LWE0YjQtMDlmZTNlY2IxMWFjXCIsXCI4OWM1Yzc1My0zYzgzLTRlZWEtOGFhMS0xZjI0Zjk5MjEzNTFcIixcIjMwNGNhYjFlLTRiNWYtNDk0Mi04MjI2"/>
    <w:docVar w:name="GVData2" w:val="LThkMGU3M2VmNmQyM1wiLFwiMTNmN2UwMTAtYzQ1ZS00MGIzLWI2MzItNmZkNmZiZjAzMzAzXCJdIiwid3JpdHRlbktleXMiOiJbXCJDbGFzc2lmaWNhdGlvblwiLFwiQ2xhc3NpZmljYXRpb25UYWdTZXRJZFwiLFwiQ29tcGxpYW5jZVRhZ1NldElkXCIsXCJGaWxl"/>
    <w:docVar w:name="GVData3" w:val="SWRcIixcImd2ZG9jaWRcIixcIlRhZ0RhdGVUaW1lXCIsXCJVc2VySWRcIl0iLCJub09mR3ZEYXRhRW50cmllcyI6IjYiLCJsaW5lSWQiOiI3OGVhYjY1Mi1iNGVjLTQ3NTEtYjExNi1kNjA3ZmRlYmI3YWIiLCJ0YWdzZXRfZTE2NDA5YTdfMTcwMF80MTUzXzkwOTBf"/>
    <w:docVar w:name="GVData4" w:val="Mzk1NWJjMmYwYWU4X2NsYXNzaWZpY2F0aW9uIjoiQ29uZmlkZW50aWFsIiwidGFnc2V0XzAwNGRlYTMzXzg3NTFfNDM5OV9hNzZlXzk1ZjM3MWNiNDExOV9kaXN0cmlidXRpb24iOiJJbnRlcm5hbCJ9"/>
    <w:docVar w:name="GVData5" w:val="(end)"/>
    <w:docVar w:name="gvdocid" w:val="0e5ffeb7-6677-490e-bbb4-2eb53609c9ca"/>
    <w:docVar w:name="TagDateTime" w:val="2026-09-10T11:14:42Z"/>
    <w:docVar w:name="UserId" w:val="Suwesh Sah"/>
  </w:docVars>
  <w:rsids>
    <w:rsidRoot w:val="00B47730"/>
    <w:rsid w:val="00034616"/>
    <w:rsid w:val="0006063C"/>
    <w:rsid w:val="000C3192"/>
    <w:rsid w:val="0015074B"/>
    <w:rsid w:val="00171E9C"/>
    <w:rsid w:val="00276E28"/>
    <w:rsid w:val="0029639D"/>
    <w:rsid w:val="00326F90"/>
    <w:rsid w:val="003E1007"/>
    <w:rsid w:val="007531E1"/>
    <w:rsid w:val="0081739A"/>
    <w:rsid w:val="00A239B2"/>
    <w:rsid w:val="00AA1D8D"/>
    <w:rsid w:val="00B311E9"/>
    <w:rsid w:val="00B47730"/>
    <w:rsid w:val="00BF6374"/>
    <w:rsid w:val="00C93B66"/>
    <w:rsid w:val="00CB0664"/>
    <w:rsid w:val="00CC7D10"/>
    <w:rsid w:val="00E67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30"/>
  <w15:docId w15:val="{53365F39-0F54-49A1-8A0F-3527F1FE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252"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4F7"/>
      <w:spacing w:before="60" w:after="100" w:line="240" w:lineRule="auto"/>
      <w:ind w:left="288" w:right="144"/>
    </w:pPr>
    <w:rPr>
      <w:rFonts w:ascii="Liberation Mono" w:hAnsi="Liberation Mono"/>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9AD66B-56E4-416B-9FF4-39A005B60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1980</Words>
  <Characters>13842</Characters>
  <Application>Microsoft Office Word</Application>
  <DocSecurity>0</DocSecurity>
  <Lines>374</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Profiling Checkpoint 3.0: Primary Experiment Collection Complete and Analysis Gate</dc:title>
  <dc:subject>Completion of primary normal versus MTP benchmark and profiler evidence collection</dc:subject>
  <dc:creator>Suwesh Prasad Sah- IT</dc:creator>
  <cp:keywords>GPU profiling, vLLM, MTP, speculative decoding, primary benchmark, Nsight Systems, PyTorch Profiler, NVTX, CUDA, reproducibility</cp:keywords>
  <dc:description>generated by python-docx</dc:description>
  <cp:lastModifiedBy>Suwesh Prasad Sah- IT</cp:lastModifiedBy>
  <cp:revision>11</cp:revision>
  <dcterms:created xsi:type="dcterms:W3CDTF">2026-09-10T11:01:00Z</dcterms:created>
  <dcterms:modified xsi:type="dcterms:W3CDTF">2026-09-10T11:14:00Z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0e5ffeb7-6677-490e-bbb4-2eb53609c9ca</vt:lpwstr>
  </property>
  <property fmtid="{D5CDD505-2E9C-101B-9397-08002B2CF9AE}" pid="3" name="GVData">
    <vt:lpwstr>eyJPUyI6IldpbmRvd3MiLCJkb2NJRCI6IjBlNWZmZWI3LTY2NzctNDkwZS1iYmI0LTJlYjUzNjA5YzljYSIsImRvY1N0YXRlIjoie30iLCJwYXJlbnRMaW5lSWRzIjoiW1wiZjg1MjNlZWUtMDc0Zi00OTU2LTk5OWItZmMyMDhlOTYyNmFiXCIsXCI4MDNkZDE1Ni1l</vt:lpwstr>
  </property>
  <property fmtid="{D5CDD505-2E9C-101B-9397-08002B2CF9AE}" pid="4" name="GVData0">
    <vt:lpwstr>YWJlLTRmZjAtYmJjYy00NGY1MmViOGVlNTlcIixcImQ4ZDBmZjFiLWI0NjQtNDM4My1hMWExLWNjYjNhNzcyNmY5ZlwiLFwiMTJlOWNiZmMtYTU2YS00Y2YwLThkMTYtZGY4OTBjODBhOGE2XCIsXCIzMGQwYmQwMS0zODUxLTQ2Y2EtYTU0MC1lZjFiOGQ0NWFmODlc</vt:lpwstr>
  </property>
  <property fmtid="{D5CDD505-2E9C-101B-9397-08002B2CF9AE}" pid="5" name="GVData1">
    <vt:lpwstr>IixcIjM3NmU2NGQ1LWFkNWQtNGM3MS04Y2VlLTY1YmYyYTQ1ODIzMFwiLFwiMzdjM2UzYTMtNDU2YS00ZjQ4LWE0YjQtMDlmZTNlY2IxMWFjXCIsXCI4OWM1Yzc1My0zYzgzLTRlZWEtOGFhMS0xZjI0Zjk5MjEzNTFcIixcIjMwNGNhYjFlLTRiNWYtNDk0Mi04MjI2</vt:lpwstr>
  </property>
  <property fmtid="{D5CDD505-2E9C-101B-9397-08002B2CF9AE}" pid="6" name="ClassificationTagSetId">
    <vt:lpwstr>e16409a7-1700-4153-9090-3955bc2f0ae8</vt:lpwstr>
  </property>
  <property fmtid="{D5CDD505-2E9C-101B-9397-08002B2CF9AE}" pid="7" name="ComplianceTagSetId">
    <vt:lpwstr>f14fc1f1-8950-40d5-8a29-45909da947d6</vt:lpwstr>
  </property>
  <property fmtid="{D5CDD505-2E9C-101B-9397-08002B2CF9AE}" pid="8" name="FileId">
    <vt:lpwstr>0e5ffeb7-6677-490e-bbb4-2eb53609c9ca</vt:lpwstr>
  </property>
  <property fmtid="{D5CDD505-2E9C-101B-9397-08002B2CF9AE}" pid="9" name="UserId">
    <vt:lpwstr>Suwesh Sah</vt:lpwstr>
  </property>
  <property fmtid="{D5CDD505-2E9C-101B-9397-08002B2CF9AE}" pid="10" name="TagDateTime">
    <vt:lpwstr>2026-09-10T11:14:42Z</vt:lpwstr>
  </property>
  <property fmtid="{D5CDD505-2E9C-101B-9397-08002B2CF9AE}" pid="11" name="Classification">
    <vt:lpwstr>Confidential</vt:lpwstr>
  </property>
  <property fmtid="{D5CDD505-2E9C-101B-9397-08002B2CF9AE}" pid="12" name="GVData2">
    <vt:lpwstr>LThkMGU3M2VmNmQyM1wiLFwiMTNmN2UwMTAtYzQ1ZS00MGIzLWI2MzItNmZkNmZiZjAzMzAzXCJdIiwid3JpdHRlbktleXMiOiJbXCJDbGFzc2lmaWNhdGlvblwiLFwiQ2xhc3NpZmljYXRpb25UYWdTZXRJZFwiLFwiQ29tcGxpYW5jZVRhZ1NldElkXCIsXCJGaWxl</vt:lpwstr>
  </property>
  <property fmtid="{D5CDD505-2E9C-101B-9397-08002B2CF9AE}" pid="13" name="GVData3">
    <vt:lpwstr>SWRcIixcImd2ZG9jaWRcIixcIlRhZ0RhdGVUaW1lXCIsXCJVc2VySWRcIl0iLCJub09mR3ZEYXRhRW50cmllcyI6IjYiLCJsaW5lSWQiOiI3OGVhYjY1Mi1iNGVjLTQ3NTEtYjExNi1kNjA3ZmRlYmI3YWIiLCJ0YWdzZXRfZTE2NDA5YTdfMTcwMF80MTUzXzkwOTBf</vt:lpwstr>
  </property>
  <property fmtid="{D5CDD505-2E9C-101B-9397-08002B2CF9AE}" pid="14" name="GVData4">
    <vt:lpwstr>Mzk1NWJjMmYwYWU4X2NsYXNzaWZpY2F0aW9uIjoiQ29uZmlkZW50aWFsIiwidGFnc2V0XzAwNGRlYTMzXzg3NTFfNDM5OV9hNzZlXzk1ZjM3MWNiNDExOV9kaXN0cmlidXRpb24iOiJJbnRlcm5hbCJ9</vt:lpwstr>
  </property>
  <property fmtid="{D5CDD505-2E9C-101B-9397-08002B2CF9AE}" pid="15" name="GVData5">
    <vt:lpwstr>(end)</vt:lpwstr>
  </property>
</Properties>
</file>