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shd w:fill="2F5597"/>
      </w:pPr>
      <w:r>
        <w:rPr>
          <w:b/>
          <w:color w:val="FFFFFF"/>
          <w:sz w:val="22"/>
        </w:rPr>
        <w:t>STEP 0</w:t>
      </w:r>
    </w:p>
    <w:p>
      <w:pPr>
        <w:pStyle w:val="Title"/>
        <w:jc w:val="center"/>
      </w:pPr>
      <w:r>
        <w:t>Preparing the GPU Profiling Platforms</w:t>
      </w:r>
    </w:p>
    <w:p>
      <w:pPr>
        <w:pStyle w:val="Subtitle"/>
        <w:jc w:val="center"/>
      </w:pPr>
      <w:r>
        <w:t>A10G server collectors and WSL GUI analysis clients</w:t>
      </w:r>
    </w:p>
    <w:p/>
    <w:tbl>
      <w:tblPr>
        <w:tblW w:type="auto" w:w="0"/>
        <w:jc w:val="center"/>
        <w:tblLayout w:type="fixed"/>
        <w:tblLook w:firstColumn="1" w:firstRow="1" w:lastColumn="0" w:lastRow="0" w:noHBand="0" w:noVBand="1" w:val="04A0"/>
      </w:tblPr>
      <w:tblGrid>
        <w:gridCol w:w="2592"/>
        <w:gridCol w:w="6624"/>
      </w:tblGrid>
      <w:tr>
        <w:tc>
          <w:tcPr>
            <w:tcW w:type="dxa" w:w="5083"/>
            <w:vAlign w:val="center"/>
            <w:tcMar>
              <w:top w:w="100" w:type="dxa"/>
              <w:start w:w="120" w:type="dxa"/>
              <w:bottom w:w="100" w:type="dxa"/>
              <w:end w:w="120" w:type="dxa"/>
            </w:tcMar>
            <w:shd w:fill="2F5597"/>
          </w:tcPr>
          <w:p>
            <w:pPr>
              <w:spacing w:after="0"/>
            </w:pPr>
            <w:r/>
            <w:r>
              <w:rPr>
                <w:rFonts w:ascii="Aptos" w:hAnsi="Aptos"/>
                <w:b/>
                <w:color w:val="FFFFFF"/>
                <w:sz w:val="18"/>
              </w:rPr>
              <w:t>Artifact type</w:t>
            </w:r>
          </w:p>
        </w:tc>
        <w:tc>
          <w:tcPr>
            <w:tcW w:type="dxa" w:w="5083"/>
            <w:vAlign w:val="center"/>
            <w:tcMar>
              <w:top w:w="100" w:type="dxa"/>
              <w:start w:w="120" w:type="dxa"/>
              <w:bottom w:w="100" w:type="dxa"/>
              <w:end w:w="120" w:type="dxa"/>
            </w:tcMar>
            <w:shd w:fill="F7F9FC"/>
          </w:tcPr>
          <w:p>
            <w:pPr>
              <w:spacing w:after="0"/>
            </w:pPr>
            <w:r/>
            <w:r>
              <w:rPr>
                <w:rFonts w:ascii="Aptos" w:hAnsi="Aptos"/>
                <w:b w:val="0"/>
                <w:color w:val="1F2937"/>
                <w:sz w:val="18"/>
              </w:rPr>
              <w:t>Engineering checkpoint / reproducibility record</w:t>
            </w:r>
          </w:p>
        </w:tc>
      </w:tr>
      <w:tr>
        <w:tc>
          <w:tcPr>
            <w:tcW w:type="dxa" w:w="5083"/>
            <w:vAlign w:val="center"/>
            <w:tcMar>
              <w:top w:w="100" w:type="dxa"/>
              <w:start w:w="120" w:type="dxa"/>
              <w:bottom w:w="100" w:type="dxa"/>
              <w:end w:w="120" w:type="dxa"/>
            </w:tcMar>
            <w:shd w:fill="2F5597"/>
          </w:tcPr>
          <w:p>
            <w:pPr>
              <w:spacing w:after="0"/>
            </w:pPr>
            <w:r/>
            <w:r>
              <w:rPr>
                <w:rFonts w:ascii="Aptos" w:hAnsi="Aptos"/>
                <w:b/>
                <w:color w:val="FFFFFF"/>
                <w:sz w:val="18"/>
              </w:rPr>
              <w:t>Prepared for</w:t>
            </w:r>
          </w:p>
        </w:tc>
        <w:tc>
          <w:tcPr>
            <w:tcW w:type="dxa" w:w="5083"/>
            <w:vAlign w:val="center"/>
            <w:tcMar>
              <w:top w:w="100" w:type="dxa"/>
              <w:start w:w="120" w:type="dxa"/>
              <w:bottom w:w="100" w:type="dxa"/>
              <w:end w:w="120" w:type="dxa"/>
            </w:tcMar>
            <w:shd w:fill="F7F9FC"/>
          </w:tcPr>
          <w:p>
            <w:pPr>
              <w:spacing w:after="0"/>
            </w:pPr>
            <w:r/>
            <w:r>
              <w:rPr>
                <w:rFonts w:ascii="Aptos" w:hAnsi="Aptos"/>
                <w:b w:val="0"/>
                <w:color w:val="1F2937"/>
                <w:sz w:val="18"/>
              </w:rPr>
              <w:t>GPU inference and speculative-decoding performance study</w:t>
            </w:r>
          </w:p>
        </w:tc>
      </w:tr>
      <w:tr>
        <w:tc>
          <w:tcPr>
            <w:tcW w:type="dxa" w:w="5083"/>
            <w:vAlign w:val="center"/>
            <w:tcMar>
              <w:top w:w="100" w:type="dxa"/>
              <w:start w:w="120" w:type="dxa"/>
              <w:bottom w:w="100" w:type="dxa"/>
              <w:end w:w="120" w:type="dxa"/>
            </w:tcMar>
            <w:shd w:fill="2F5597"/>
          </w:tcPr>
          <w:p>
            <w:pPr>
              <w:spacing w:after="0"/>
            </w:pPr>
            <w:r/>
            <w:r>
              <w:rPr>
                <w:rFonts w:ascii="Aptos" w:hAnsi="Aptos"/>
                <w:b/>
                <w:color w:val="FFFFFF"/>
                <w:sz w:val="18"/>
              </w:rPr>
              <w:t>Environment</w:t>
            </w:r>
          </w:p>
        </w:tc>
        <w:tc>
          <w:tcPr>
            <w:tcW w:type="dxa" w:w="5083"/>
            <w:vAlign w:val="center"/>
            <w:tcMar>
              <w:top w:w="100" w:type="dxa"/>
              <w:start w:w="120" w:type="dxa"/>
              <w:bottom w:w="100" w:type="dxa"/>
              <w:end w:w="120" w:type="dxa"/>
            </w:tcMar>
            <w:shd w:fill="F7F9FC"/>
          </w:tcPr>
          <w:p>
            <w:pPr>
              <w:spacing w:after="0"/>
            </w:pPr>
            <w:r/>
            <w:r>
              <w:rPr>
                <w:rFonts w:ascii="Aptos" w:hAnsi="Aptos"/>
                <w:b w:val="0"/>
                <w:color w:val="1F2937"/>
                <w:sz w:val="18"/>
              </w:rPr>
              <w:t>AWS g5.xlarge-class host with NVIDIA A10G; WSL2 analysis workstation</w:t>
            </w:r>
          </w:p>
        </w:tc>
      </w:tr>
      <w:tr>
        <w:tc>
          <w:tcPr>
            <w:tcW w:type="dxa" w:w="5083"/>
            <w:vAlign w:val="center"/>
            <w:tcMar>
              <w:top w:w="100" w:type="dxa"/>
              <w:start w:w="120" w:type="dxa"/>
              <w:bottom w:w="100" w:type="dxa"/>
              <w:end w:w="120" w:type="dxa"/>
            </w:tcMar>
            <w:shd w:fill="2F5597"/>
          </w:tcPr>
          <w:p>
            <w:pPr>
              <w:spacing w:after="0"/>
            </w:pPr>
            <w:r/>
            <w:r>
              <w:rPr>
                <w:rFonts w:ascii="Aptos" w:hAnsi="Aptos"/>
                <w:b/>
                <w:color w:val="FFFFFF"/>
                <w:sz w:val="18"/>
              </w:rPr>
              <w:t>Checkpoint date</w:t>
            </w:r>
          </w:p>
        </w:tc>
        <w:tc>
          <w:tcPr>
            <w:tcW w:type="dxa" w:w="5083"/>
            <w:vAlign w:val="center"/>
            <w:tcMar>
              <w:top w:w="100" w:type="dxa"/>
              <w:start w:w="120" w:type="dxa"/>
              <w:bottom w:w="100" w:type="dxa"/>
              <w:end w:w="120" w:type="dxa"/>
            </w:tcMar>
            <w:shd w:fill="F7F9FC"/>
          </w:tcPr>
          <w:p>
            <w:pPr>
              <w:spacing w:after="0"/>
            </w:pPr>
            <w:r/>
            <w:r>
              <w:rPr>
                <w:rFonts w:ascii="Aptos" w:hAnsi="Aptos"/>
                <w:b w:val="0"/>
                <w:color w:val="1F2937"/>
                <w:sz w:val="18"/>
              </w:rPr>
              <w:t>2 September 2026</w:t>
            </w:r>
          </w:p>
        </w:tc>
      </w:tr>
      <w:tr>
        <w:tc>
          <w:tcPr>
            <w:tcW w:type="dxa" w:w="5083"/>
            <w:vAlign w:val="center"/>
            <w:tcMar>
              <w:top w:w="100" w:type="dxa"/>
              <w:start w:w="120" w:type="dxa"/>
              <w:bottom w:w="100" w:type="dxa"/>
              <w:end w:w="120" w:type="dxa"/>
            </w:tcMar>
            <w:shd w:fill="2F5597"/>
          </w:tcPr>
          <w:p>
            <w:pPr>
              <w:spacing w:after="0"/>
            </w:pPr>
            <w:r/>
            <w:r>
              <w:rPr>
                <w:rFonts w:ascii="Aptos" w:hAnsi="Aptos"/>
                <w:b/>
                <w:color w:val="FFFFFF"/>
                <w:sz w:val="18"/>
              </w:rPr>
              <w:t>Status</w:t>
            </w:r>
          </w:p>
        </w:tc>
        <w:tc>
          <w:tcPr>
            <w:tcW w:type="dxa" w:w="5083"/>
            <w:vAlign w:val="center"/>
            <w:tcMar>
              <w:top w:w="100" w:type="dxa"/>
              <w:start w:w="120" w:type="dxa"/>
              <w:bottom w:w="100" w:type="dxa"/>
              <w:end w:w="120" w:type="dxa"/>
            </w:tcMar>
            <w:shd w:fill="F7F9FC"/>
          </w:tcPr>
          <w:p>
            <w:pPr>
              <w:spacing w:after="0"/>
            </w:pPr>
            <w:r/>
            <w:r>
              <w:rPr>
                <w:rFonts w:ascii="Aptos" w:hAnsi="Aptos"/>
                <w:b w:val="0"/>
                <w:color w:val="1F2937"/>
                <w:sz w:val="18"/>
              </w:rPr>
              <w:t>Platform provisioned and interactive GUI clients validated</w:t>
            </w:r>
          </w:p>
        </w:tc>
      </w:tr>
    </w:tbl>
    <w:p/>
    <w:tbl>
      <w:tblPr>
        <w:tblW w:type="auto" w:w="0"/>
        <w:jc w:val="center"/>
        <w:tblLook w:firstColumn="1" w:firstRow="1" w:lastColumn="0" w:lastRow="0" w:noHBand="0" w:noVBand="1" w:val="04A0"/>
      </w:tblPr>
      <w:tblGrid>
        <w:gridCol w:w="10166"/>
      </w:tblGrid>
      <w:tr>
        <w:tc>
          <w:tcPr>
            <w:tcW w:type="dxa" w:w="10166"/>
            <w:vAlign w:val="center"/>
            <w:tcMar>
              <w:top w:w="100" w:type="dxa"/>
              <w:start w:w="120" w:type="dxa"/>
              <w:bottom w:w="100" w:type="dxa"/>
              <w:end w:w="120" w:type="dxa"/>
            </w:tcMar>
            <w:shd w:fill="EAF2F8"/>
          </w:tcPr>
          <w:p>
            <w:pPr>
              <w:spacing w:after="0"/>
            </w:pPr>
            <w:r/>
            <w:r>
              <w:rPr>
                <w:rFonts w:ascii="Aptos" w:hAnsi="Aptos"/>
                <w:b/>
                <w:color w:val="17365D"/>
                <w:sz w:val="20"/>
              </w:rPr>
              <w:t>Checkpoint outcome: PyTorch Profiler, Nsight Systems, and Nsight Compute are provisioned for the planned progression from framework-level traces to system timelines and kernel-level hardware-counter analysis.</w:t>
            </w:r>
          </w:p>
        </w:tc>
      </w:tr>
    </w:tbl>
    <w:p>
      <w:pPr>
        <w:spacing w:before="440"/>
        <w:jc w:val="center"/>
      </w:pPr>
      <w:r>
        <w:rPr>
          <w:b/>
          <w:color w:val="344054"/>
          <w:sz w:val="22"/>
        </w:rPr>
        <w:t>Suwesh Prasad Sah</w:t>
      </w:r>
    </w:p>
    <w:p>
      <w:r>
        <w:br w:type="page"/>
      </w:r>
    </w:p>
    <w:p>
      <w:pPr>
        <w:pStyle w:val="Heading1"/>
      </w:pPr>
      <w:r>
        <w:t>1. Purpose and boundary</w:t>
      </w:r>
    </w:p>
    <w:p>
      <w:r>
        <w:t>This checkpoint records only the preparation and validation of the profiling platforms. No benchmark measurements, workload comparisons, or performance conclusions were produced at this stage. The constant experimental harness, workload definitions, warm-up policy, repetition strategy, and measurement protocol remain later work.</w:t>
      </w:r>
    </w:p>
    <w:p>
      <w:r>
        <w:t>The platform was prepared to support a controlled comparison of normal decoding and MTP-based speculative decoding across plain-text generation, reasoning-heavy generation, and tool-calling or structured generation. The intended analysis stack is progressive: PyTorch Profiler for operator-level context, NVIDIA Nsight Systems for CPU/CUDA/GPU timelines, and NVIDIA Nsight Compute for selected kernel-level metrics.</w:t>
      </w:r>
    </w:p>
    <w:p>
      <w:pPr>
        <w:pStyle w:val="Heading1"/>
      </w:pPr>
      <w:r>
        <w:t>2. Final platform inventory</w:t>
      </w:r>
    </w:p>
    <w:tbl>
      <w:tblPr>
        <w:tblW w:type="auto" w:w="0"/>
        <w:jc w:val="center"/>
        <w:tblLayout w:type="fixed"/>
        <w:tblLook w:firstColumn="1" w:firstRow="1" w:lastColumn="0" w:lastRow="0" w:noHBand="0" w:noVBand="1" w:val="04A0"/>
      </w:tblPr>
      <w:tblGrid>
        <w:gridCol w:w="2880"/>
        <w:gridCol w:w="2347"/>
        <w:gridCol w:w="2347"/>
        <w:gridCol w:w="3312"/>
      </w:tblGrid>
      <w:tr>
        <w:tc>
          <w:tcPr>
            <w:tcW w:type="dxa" w:w="2541"/>
            <w:vAlign w:val="center"/>
            <w:tcMar>
              <w:top w:w="100" w:type="dxa"/>
              <w:start w:w="120" w:type="dxa"/>
              <w:bottom w:w="100" w:type="dxa"/>
              <w:end w:w="120" w:type="dxa"/>
            </w:tcMar>
            <w:shd w:fill="17365D"/>
          </w:tcPr>
          <w:p>
            <w:pPr>
              <w:spacing w:after="0"/>
            </w:pPr>
            <w:r/>
            <w:r>
              <w:rPr>
                <w:rFonts w:ascii="Aptos" w:hAnsi="Aptos"/>
                <w:b/>
                <w:color w:val="FFFFFF"/>
                <w:sz w:val="17"/>
              </w:rPr>
              <w:t>Component</w:t>
            </w:r>
          </w:p>
        </w:tc>
        <w:tc>
          <w:tcPr>
            <w:tcW w:type="dxa" w:w="2541"/>
            <w:vAlign w:val="center"/>
            <w:tcMar>
              <w:top w:w="100" w:type="dxa"/>
              <w:start w:w="120" w:type="dxa"/>
              <w:bottom w:w="100" w:type="dxa"/>
              <w:end w:w="120" w:type="dxa"/>
            </w:tcMar>
            <w:shd w:fill="17365D"/>
          </w:tcPr>
          <w:p>
            <w:pPr>
              <w:spacing w:after="0"/>
            </w:pPr>
            <w:r/>
            <w:r>
              <w:rPr>
                <w:rFonts w:ascii="Aptos" w:hAnsi="Aptos"/>
                <w:b/>
                <w:color w:val="FFFFFF"/>
                <w:sz w:val="17"/>
              </w:rPr>
              <w:t>A10G server</w:t>
            </w:r>
          </w:p>
        </w:tc>
        <w:tc>
          <w:tcPr>
            <w:tcW w:type="dxa" w:w="2541"/>
            <w:vAlign w:val="center"/>
            <w:tcMar>
              <w:top w:w="100" w:type="dxa"/>
              <w:start w:w="120" w:type="dxa"/>
              <w:bottom w:w="100" w:type="dxa"/>
              <w:end w:w="120" w:type="dxa"/>
            </w:tcMar>
            <w:shd w:fill="17365D"/>
          </w:tcPr>
          <w:p>
            <w:pPr>
              <w:spacing w:after="0"/>
            </w:pPr>
            <w:r/>
            <w:r>
              <w:rPr>
                <w:rFonts w:ascii="Aptos" w:hAnsi="Aptos"/>
                <w:b/>
                <w:color w:val="FFFFFF"/>
                <w:sz w:val="17"/>
              </w:rPr>
              <w:t>WSL workstation</w:t>
            </w:r>
          </w:p>
        </w:tc>
        <w:tc>
          <w:tcPr>
            <w:tcW w:type="dxa" w:w="2541"/>
            <w:vAlign w:val="center"/>
            <w:tcMar>
              <w:top w:w="100" w:type="dxa"/>
              <w:start w:w="120" w:type="dxa"/>
              <w:bottom w:w="100" w:type="dxa"/>
              <w:end w:w="120" w:type="dxa"/>
            </w:tcMar>
            <w:shd w:fill="17365D"/>
          </w:tcPr>
          <w:p>
            <w:pPr>
              <w:spacing w:after="0"/>
            </w:pPr>
            <w:r/>
            <w:r>
              <w:rPr>
                <w:rFonts w:ascii="Aptos" w:hAnsi="Aptos"/>
                <w:b/>
                <w:color w:val="FFFFFF"/>
                <w:sz w:val="17"/>
              </w:rPr>
              <w:t>Validated role</w:t>
            </w:r>
          </w:p>
        </w:tc>
      </w:tr>
      <w:tr>
        <w:tc>
          <w:tcPr>
            <w:tcW w:type="dxa" w:w="2880"/>
            <w:vAlign w:val="center"/>
            <w:tcMar>
              <w:top w:w="100" w:type="dxa"/>
              <w:start w:w="120" w:type="dxa"/>
              <w:bottom w:w="100" w:type="dxa"/>
              <w:end w:w="120" w:type="dxa"/>
            </w:tcMar>
            <w:shd w:fill="F7F9FC"/>
          </w:tcPr>
          <w:p>
            <w:pPr>
              <w:spacing w:after="0"/>
            </w:pPr>
            <w:r/>
            <w:r>
              <w:rPr>
                <w:rFonts w:ascii="Aptos" w:hAnsi="Aptos"/>
                <w:b w:val="0"/>
                <w:color w:val="1F2937"/>
                <w:sz w:val="16"/>
              </w:rPr>
              <w:t>GPU</w:t>
            </w:r>
          </w:p>
        </w:tc>
        <w:tc>
          <w:tcPr>
            <w:tcW w:type="dxa" w:w="2347"/>
            <w:vAlign w:val="center"/>
            <w:tcMar>
              <w:top w:w="100" w:type="dxa"/>
              <w:start w:w="120" w:type="dxa"/>
              <w:bottom w:w="100" w:type="dxa"/>
              <w:end w:w="120" w:type="dxa"/>
            </w:tcMar>
            <w:shd w:fill="F7F9FC"/>
          </w:tcPr>
          <w:p>
            <w:pPr>
              <w:spacing w:after="0"/>
            </w:pPr>
            <w:r/>
            <w:r>
              <w:rPr>
                <w:rFonts w:ascii="Aptos" w:hAnsi="Aptos"/>
                <w:b w:val="0"/>
                <w:color w:val="1F2937"/>
                <w:sz w:val="16"/>
              </w:rPr>
              <w:t>NVIDIA A10G, GA102, 23,028 MiB</w:t>
            </w:r>
          </w:p>
        </w:tc>
        <w:tc>
          <w:tcPr>
            <w:tcW w:type="dxa" w:w="2347"/>
            <w:vAlign w:val="center"/>
            <w:tcMar>
              <w:top w:w="100" w:type="dxa"/>
              <w:start w:w="120" w:type="dxa"/>
              <w:bottom w:w="100" w:type="dxa"/>
              <w:end w:w="120" w:type="dxa"/>
            </w:tcMar>
            <w:shd w:fill="F7F9FC"/>
          </w:tcPr>
          <w:p>
            <w:pPr>
              <w:spacing w:after="0"/>
            </w:pPr>
            <w:r/>
            <w:r>
              <w:rPr>
                <w:rFonts w:ascii="Aptos" w:hAnsi="Aptos"/>
                <w:b w:val="0"/>
                <w:color w:val="1F2937"/>
                <w:sz w:val="16"/>
              </w:rPr>
              <w:t>Not used for collection</w:t>
            </w:r>
          </w:p>
        </w:tc>
        <w:tc>
          <w:tcPr>
            <w:tcW w:type="dxa" w:w="3312"/>
            <w:vAlign w:val="center"/>
            <w:tcMar>
              <w:top w:w="100" w:type="dxa"/>
              <w:start w:w="120" w:type="dxa"/>
              <w:bottom w:w="100" w:type="dxa"/>
              <w:end w:w="120" w:type="dxa"/>
            </w:tcMar>
            <w:shd w:fill="F7F9FC"/>
          </w:tcPr>
          <w:p>
            <w:pPr>
              <w:spacing w:after="0"/>
            </w:pPr>
            <w:r/>
            <w:r>
              <w:rPr>
                <w:rFonts w:ascii="Aptos" w:hAnsi="Aptos"/>
                <w:b w:val="0"/>
                <w:color w:val="1F2937"/>
                <w:sz w:val="16"/>
              </w:rPr>
              <w:t>Remote inference and profiling target</w:t>
            </w:r>
          </w:p>
        </w:tc>
      </w:tr>
      <w:tr>
        <w:tc>
          <w:tcPr>
            <w:tcW w:type="dxa" w:w="2880"/>
            <w:vAlign w:val="center"/>
            <w:tcMar>
              <w:top w:w="100" w:type="dxa"/>
              <w:start w:w="120" w:type="dxa"/>
              <w:bottom w:w="100" w:type="dxa"/>
              <w:end w:w="120" w:type="dxa"/>
            </w:tcMar>
            <w:shd w:fill="FFFFFF"/>
          </w:tcPr>
          <w:p>
            <w:pPr>
              <w:spacing w:after="0"/>
            </w:pPr>
            <w:r/>
            <w:r>
              <w:rPr>
                <w:rFonts w:ascii="Aptos" w:hAnsi="Aptos"/>
                <w:b w:val="0"/>
                <w:color w:val="1F2937"/>
                <w:sz w:val="16"/>
              </w:rPr>
              <w:t>Driver / capability</w:t>
            </w:r>
          </w:p>
        </w:tc>
        <w:tc>
          <w:tcPr>
            <w:tcW w:type="dxa" w:w="2347"/>
            <w:vAlign w:val="center"/>
            <w:tcMar>
              <w:top w:w="100" w:type="dxa"/>
              <w:start w:w="120" w:type="dxa"/>
              <w:bottom w:w="100" w:type="dxa"/>
              <w:end w:w="120" w:type="dxa"/>
            </w:tcMar>
            <w:shd w:fill="FFFFFF"/>
          </w:tcPr>
          <w:p>
            <w:pPr>
              <w:spacing w:after="0"/>
            </w:pPr>
            <w:r/>
            <w:r>
              <w:rPr>
                <w:rFonts w:ascii="Aptos" w:hAnsi="Aptos"/>
                <w:b w:val="0"/>
                <w:color w:val="1F2937"/>
                <w:sz w:val="16"/>
              </w:rPr>
              <w:t>595.71.05; CUDA support 13.2</w:t>
            </w:r>
          </w:p>
        </w:tc>
        <w:tc>
          <w:tcPr>
            <w:tcW w:type="dxa" w:w="2347"/>
            <w:vAlign w:val="center"/>
            <w:tcMar>
              <w:top w:w="100" w:type="dxa"/>
              <w:start w:w="120" w:type="dxa"/>
              <w:bottom w:w="100" w:type="dxa"/>
              <w:end w:w="120" w:type="dxa"/>
            </w:tcMar>
            <w:shd w:fill="FFFFFF"/>
          </w:tcPr>
          <w:p>
            <w:pPr>
              <w:spacing w:after="0"/>
            </w:pPr>
            <w:r/>
            <w:r>
              <w:rPr>
                <w:rFonts w:ascii="Aptos" w:hAnsi="Aptos"/>
                <w:b w:val="0"/>
                <w:color w:val="1F2937"/>
                <w:sz w:val="16"/>
              </w:rPr>
              <w:t>Host-managed WSL GPU path</w:t>
            </w:r>
          </w:p>
        </w:tc>
        <w:tc>
          <w:tcPr>
            <w:tcW w:type="dxa" w:w="3312"/>
            <w:vAlign w:val="center"/>
            <w:tcMar>
              <w:top w:w="100" w:type="dxa"/>
              <w:start w:w="120" w:type="dxa"/>
              <w:bottom w:w="100" w:type="dxa"/>
              <w:end w:w="120" w:type="dxa"/>
            </w:tcMar>
            <w:shd w:fill="FFFFFF"/>
          </w:tcPr>
          <w:p>
            <w:pPr>
              <w:spacing w:after="0"/>
            </w:pPr>
            <w:r/>
            <w:r>
              <w:rPr>
                <w:rFonts w:ascii="Aptos" w:hAnsi="Aptos"/>
                <w:b w:val="0"/>
                <w:color w:val="1F2937"/>
                <w:sz w:val="16"/>
              </w:rPr>
              <w:t>Server driver accepts deployed runtimes</w:t>
            </w:r>
          </w:p>
        </w:tc>
      </w:tr>
      <w:tr>
        <w:tc>
          <w:tcPr>
            <w:tcW w:type="dxa" w:w="2880"/>
            <w:vAlign w:val="center"/>
            <w:tcMar>
              <w:top w:w="100" w:type="dxa"/>
              <w:start w:w="120" w:type="dxa"/>
              <w:bottom w:w="100" w:type="dxa"/>
              <w:end w:w="120" w:type="dxa"/>
            </w:tcMar>
            <w:shd w:fill="F7F9FC"/>
          </w:tcPr>
          <w:p>
            <w:pPr>
              <w:spacing w:after="0"/>
            </w:pPr>
            <w:r/>
            <w:r>
              <w:rPr>
                <w:rFonts w:ascii="Aptos" w:hAnsi="Aptos"/>
                <w:b w:val="0"/>
                <w:color w:val="1F2937"/>
                <w:sz w:val="16"/>
              </w:rPr>
              <w:t>PyTorch</w:t>
            </w:r>
          </w:p>
        </w:tc>
        <w:tc>
          <w:tcPr>
            <w:tcW w:type="dxa" w:w="2347"/>
            <w:vAlign w:val="center"/>
            <w:tcMar>
              <w:top w:w="100" w:type="dxa"/>
              <w:start w:w="120" w:type="dxa"/>
              <w:bottom w:w="100" w:type="dxa"/>
              <w:end w:w="120" w:type="dxa"/>
            </w:tcMar>
            <w:shd w:fill="F7F9FC"/>
          </w:tcPr>
          <w:p>
            <w:pPr>
              <w:spacing w:after="0"/>
            </w:pPr>
            <w:r/>
            <w:r>
              <w:rPr>
                <w:rFonts w:ascii="Aptos" w:hAnsi="Aptos"/>
                <w:b w:val="0"/>
                <w:color w:val="1F2937"/>
                <w:sz w:val="16"/>
              </w:rPr>
              <w:t>2.11.0+cu130</w:t>
            </w:r>
          </w:p>
        </w:tc>
        <w:tc>
          <w:tcPr>
            <w:tcW w:type="dxa" w:w="2347"/>
            <w:vAlign w:val="center"/>
            <w:tcMar>
              <w:top w:w="100" w:type="dxa"/>
              <w:start w:w="120" w:type="dxa"/>
              <w:bottom w:w="100" w:type="dxa"/>
              <w:end w:w="120" w:type="dxa"/>
            </w:tcMar>
            <w:shd w:fill="F7F9FC"/>
          </w:tcPr>
          <w:p>
            <w:pPr>
              <w:spacing w:after="0"/>
            </w:pPr>
            <w:r/>
            <w:r>
              <w:rPr>
                <w:rFonts w:ascii="Aptos" w:hAnsi="Aptos"/>
                <w:b w:val="0"/>
                <w:color w:val="1F2937"/>
                <w:sz w:val="16"/>
              </w:rPr>
              <w:t>Not required for report viewing</w:t>
            </w:r>
          </w:p>
        </w:tc>
        <w:tc>
          <w:tcPr>
            <w:tcW w:type="dxa" w:w="3312"/>
            <w:vAlign w:val="center"/>
            <w:tcMar>
              <w:top w:w="100" w:type="dxa"/>
              <w:start w:w="120" w:type="dxa"/>
              <w:bottom w:w="100" w:type="dxa"/>
              <w:end w:w="120" w:type="dxa"/>
            </w:tcMar>
            <w:shd w:fill="F7F9FC"/>
          </w:tcPr>
          <w:p>
            <w:pPr>
              <w:spacing w:after="0"/>
            </w:pPr>
            <w:r/>
            <w:r>
              <w:rPr>
                <w:rFonts w:ascii="Aptos" w:hAnsi="Aptos"/>
                <w:b w:val="0"/>
                <w:color w:val="1F2937"/>
                <w:sz w:val="16"/>
              </w:rPr>
              <w:t>Framework/runtime and PyTorch Profiler</w:t>
            </w:r>
          </w:p>
        </w:tc>
      </w:tr>
      <w:tr>
        <w:tc>
          <w:tcPr>
            <w:tcW w:type="dxa" w:w="2880"/>
            <w:vAlign w:val="center"/>
            <w:tcMar>
              <w:top w:w="100" w:type="dxa"/>
              <w:start w:w="120" w:type="dxa"/>
              <w:bottom w:w="100" w:type="dxa"/>
              <w:end w:w="120" w:type="dxa"/>
            </w:tcMar>
            <w:shd w:fill="FFFFFF"/>
          </w:tcPr>
          <w:p>
            <w:pPr>
              <w:spacing w:after="0"/>
            </w:pPr>
            <w:r/>
            <w:r>
              <w:rPr>
                <w:rFonts w:ascii="Aptos" w:hAnsi="Aptos"/>
                <w:b w:val="0"/>
                <w:color w:val="1F2937"/>
                <w:sz w:val="16"/>
              </w:rPr>
              <w:t>CUDA toolkit</w:t>
            </w:r>
          </w:p>
        </w:tc>
        <w:tc>
          <w:tcPr>
            <w:tcW w:type="dxa" w:w="2347"/>
            <w:vAlign w:val="center"/>
            <w:tcMar>
              <w:top w:w="100" w:type="dxa"/>
              <w:start w:w="120" w:type="dxa"/>
              <w:bottom w:w="100" w:type="dxa"/>
              <w:end w:w="120" w:type="dxa"/>
            </w:tcMar>
            <w:shd w:fill="FFFFFF"/>
          </w:tcPr>
          <w:p>
            <w:pPr>
              <w:spacing w:after="0"/>
            </w:pPr>
            <w:r/>
            <w:r>
              <w:rPr>
                <w:rFonts w:ascii="Aptos" w:hAnsi="Aptos"/>
                <w:b w:val="0"/>
                <w:color w:val="1F2937"/>
                <w:sz w:val="16"/>
              </w:rPr>
              <w:t>12.9; /usr/local/cuda</w:t>
            </w:r>
          </w:p>
        </w:tc>
        <w:tc>
          <w:tcPr>
            <w:tcW w:type="dxa" w:w="2347"/>
            <w:vAlign w:val="center"/>
            <w:tcMar>
              <w:top w:w="100" w:type="dxa"/>
              <w:start w:w="120" w:type="dxa"/>
              <w:bottom w:w="100" w:type="dxa"/>
              <w:end w:w="120" w:type="dxa"/>
            </w:tcMar>
            <w:shd w:fill="FFFFFF"/>
          </w:tcPr>
          <w:p>
            <w:pPr>
              <w:spacing w:after="0"/>
            </w:pPr>
            <w:r/>
            <w:r>
              <w:rPr>
                <w:rFonts w:ascii="Aptos" w:hAnsi="Aptos"/>
                <w:b w:val="0"/>
                <w:color w:val="1F2937"/>
                <w:sz w:val="16"/>
              </w:rPr>
              <w:t>Package state changed during cleanup</w:t>
            </w:r>
          </w:p>
        </w:tc>
        <w:tc>
          <w:tcPr>
            <w:tcW w:type="dxa" w:w="3312"/>
            <w:vAlign w:val="center"/>
            <w:tcMar>
              <w:top w:w="100" w:type="dxa"/>
              <w:start w:w="120" w:type="dxa"/>
              <w:bottom w:w="100" w:type="dxa"/>
              <w:end w:w="120" w:type="dxa"/>
            </w:tcMar>
            <w:shd w:fill="FFFFFF"/>
          </w:tcPr>
          <w:p>
            <w:pPr>
              <w:spacing w:after="0"/>
            </w:pPr>
            <w:r/>
            <w:r>
              <w:rPr>
                <w:rFonts w:ascii="Aptos" w:hAnsi="Aptos"/>
                <w:b w:val="0"/>
                <w:color w:val="1F2937"/>
                <w:sz w:val="16"/>
              </w:rPr>
              <w:t>Compiler toolkit; separate from PyTorch runtime</w:t>
            </w:r>
          </w:p>
        </w:tc>
      </w:tr>
      <w:tr>
        <w:tc>
          <w:tcPr>
            <w:tcW w:type="dxa" w:w="2880"/>
            <w:vAlign w:val="center"/>
            <w:tcMar>
              <w:top w:w="100" w:type="dxa"/>
              <w:start w:w="120" w:type="dxa"/>
              <w:bottom w:w="100" w:type="dxa"/>
              <w:end w:w="120" w:type="dxa"/>
            </w:tcMar>
            <w:shd w:fill="F7F9FC"/>
          </w:tcPr>
          <w:p>
            <w:pPr>
              <w:spacing w:after="0"/>
            </w:pPr>
            <w:r/>
            <w:r>
              <w:rPr>
                <w:rFonts w:ascii="Aptos" w:hAnsi="Aptos"/>
                <w:b w:val="0"/>
                <w:color w:val="1F2937"/>
                <w:sz w:val="16"/>
              </w:rPr>
              <w:t>Nsight Systems</w:t>
            </w:r>
          </w:p>
        </w:tc>
        <w:tc>
          <w:tcPr>
            <w:tcW w:type="dxa" w:w="2347"/>
            <w:vAlign w:val="center"/>
            <w:tcMar>
              <w:top w:w="100" w:type="dxa"/>
              <w:start w:w="120" w:type="dxa"/>
              <w:bottom w:w="100" w:type="dxa"/>
              <w:end w:w="120" w:type="dxa"/>
            </w:tcMar>
            <w:shd w:fill="F7F9FC"/>
          </w:tcPr>
          <w:p>
            <w:pPr>
              <w:spacing w:after="0"/>
            </w:pPr>
            <w:r/>
            <w:r>
              <w:rPr>
                <w:rFonts w:ascii="Aptos" w:hAnsi="Aptos"/>
                <w:b w:val="0"/>
                <w:color w:val="1F2937"/>
                <w:sz w:val="16"/>
              </w:rPr>
              <w:t>2026.4.1 CLI</w:t>
            </w:r>
          </w:p>
        </w:tc>
        <w:tc>
          <w:tcPr>
            <w:tcW w:type="dxa" w:w="2347"/>
            <w:vAlign w:val="center"/>
            <w:tcMar>
              <w:top w:w="100" w:type="dxa"/>
              <w:start w:w="120" w:type="dxa"/>
              <w:bottom w:w="100" w:type="dxa"/>
              <w:end w:w="120" w:type="dxa"/>
            </w:tcMar>
            <w:shd w:fill="F7F9FC"/>
          </w:tcPr>
          <w:p>
            <w:pPr>
              <w:spacing w:after="0"/>
            </w:pPr>
            <w:r/>
            <w:r>
              <w:rPr>
                <w:rFonts w:ascii="Aptos" w:hAnsi="Aptos"/>
                <w:b w:val="0"/>
                <w:color w:val="1F2937"/>
                <w:sz w:val="16"/>
              </w:rPr>
              <w:t>2026.4.1 CLI and GUI</w:t>
            </w:r>
          </w:p>
        </w:tc>
        <w:tc>
          <w:tcPr>
            <w:tcW w:type="dxa" w:w="3312"/>
            <w:vAlign w:val="center"/>
            <w:tcMar>
              <w:top w:w="100" w:type="dxa"/>
              <w:start w:w="120" w:type="dxa"/>
              <w:bottom w:w="100" w:type="dxa"/>
              <w:end w:w="120" w:type="dxa"/>
            </w:tcMar>
            <w:shd w:fill="F7F9FC"/>
          </w:tcPr>
          <w:p>
            <w:pPr>
              <w:spacing w:after="0"/>
            </w:pPr>
            <w:r/>
            <w:r>
              <w:rPr>
                <w:rFonts w:ascii="Aptos" w:hAnsi="Aptos"/>
                <w:b w:val="0"/>
                <w:color w:val="1F2937"/>
                <w:sz w:val="16"/>
              </w:rPr>
              <w:t>System timeline collection and analysis</w:t>
            </w:r>
          </w:p>
        </w:tc>
      </w:tr>
      <w:tr>
        <w:tc>
          <w:tcPr>
            <w:tcW w:type="dxa" w:w="2880"/>
            <w:vAlign w:val="center"/>
            <w:tcMar>
              <w:top w:w="100" w:type="dxa"/>
              <w:start w:w="120" w:type="dxa"/>
              <w:bottom w:w="100" w:type="dxa"/>
              <w:end w:w="120" w:type="dxa"/>
            </w:tcMar>
            <w:shd w:fill="FFFFFF"/>
          </w:tcPr>
          <w:p>
            <w:pPr>
              <w:spacing w:after="0"/>
            </w:pPr>
            <w:r/>
            <w:r>
              <w:rPr>
                <w:rFonts w:ascii="Aptos" w:hAnsi="Aptos"/>
                <w:b w:val="0"/>
                <w:color w:val="1F2937"/>
                <w:sz w:val="16"/>
              </w:rPr>
              <w:t>Nsight Compute</w:t>
            </w:r>
          </w:p>
        </w:tc>
        <w:tc>
          <w:tcPr>
            <w:tcW w:type="dxa" w:w="2347"/>
            <w:vAlign w:val="center"/>
            <w:tcMar>
              <w:top w:w="100" w:type="dxa"/>
              <w:start w:w="120" w:type="dxa"/>
              <w:bottom w:w="100" w:type="dxa"/>
              <w:end w:w="120" w:type="dxa"/>
            </w:tcMar>
            <w:shd w:fill="FFFFFF"/>
          </w:tcPr>
          <w:p>
            <w:pPr>
              <w:spacing w:after="0"/>
            </w:pPr>
            <w:r/>
            <w:r>
              <w:rPr>
                <w:rFonts w:ascii="Aptos" w:hAnsi="Aptos"/>
                <w:b w:val="0"/>
                <w:color w:val="1F2937"/>
                <w:sz w:val="16"/>
              </w:rPr>
              <w:t>2026.2.1 CLI</w:t>
            </w:r>
          </w:p>
        </w:tc>
        <w:tc>
          <w:tcPr>
            <w:tcW w:type="dxa" w:w="2347"/>
            <w:vAlign w:val="center"/>
            <w:tcMar>
              <w:top w:w="100" w:type="dxa"/>
              <w:start w:w="120" w:type="dxa"/>
              <w:bottom w:w="100" w:type="dxa"/>
              <w:end w:w="120" w:type="dxa"/>
            </w:tcMar>
            <w:shd w:fill="FFFFFF"/>
          </w:tcPr>
          <w:p>
            <w:pPr>
              <w:spacing w:after="0"/>
            </w:pPr>
            <w:r/>
            <w:r>
              <w:rPr>
                <w:rFonts w:ascii="Aptos" w:hAnsi="Aptos"/>
                <w:b w:val="0"/>
                <w:color w:val="1F2937"/>
                <w:sz w:val="16"/>
              </w:rPr>
              <w:t>2026.2.1 CLI and GUI</w:t>
            </w:r>
          </w:p>
        </w:tc>
        <w:tc>
          <w:tcPr>
            <w:tcW w:type="dxa" w:w="3312"/>
            <w:vAlign w:val="center"/>
            <w:tcMar>
              <w:top w:w="100" w:type="dxa"/>
              <w:start w:w="120" w:type="dxa"/>
              <w:bottom w:w="100" w:type="dxa"/>
              <w:end w:w="120" w:type="dxa"/>
            </w:tcMar>
            <w:shd w:fill="FFFFFF"/>
          </w:tcPr>
          <w:p>
            <w:pPr>
              <w:spacing w:after="0"/>
            </w:pPr>
            <w:r/>
            <w:r>
              <w:rPr>
                <w:rFonts w:ascii="Aptos" w:hAnsi="Aptos"/>
                <w:b w:val="0"/>
                <w:color w:val="1F2937"/>
                <w:sz w:val="16"/>
              </w:rPr>
              <w:t>Kernel counter collection and analysis</w:t>
            </w:r>
          </w:p>
        </w:tc>
      </w:tr>
      <w:tr>
        <w:tc>
          <w:tcPr>
            <w:tcW w:type="dxa" w:w="2880"/>
            <w:vAlign w:val="center"/>
            <w:tcMar>
              <w:top w:w="100" w:type="dxa"/>
              <w:start w:w="120" w:type="dxa"/>
              <w:bottom w:w="100" w:type="dxa"/>
              <w:end w:w="120" w:type="dxa"/>
            </w:tcMar>
            <w:shd w:fill="F7F9FC"/>
          </w:tcPr>
          <w:p>
            <w:pPr>
              <w:spacing w:after="0"/>
            </w:pPr>
            <w:r/>
            <w:r>
              <w:rPr>
                <w:rFonts w:ascii="Aptos" w:hAnsi="Aptos"/>
                <w:b w:val="0"/>
                <w:color w:val="1F2937"/>
                <w:sz w:val="16"/>
              </w:rPr>
              <w:t>GUI rendering</w:t>
            </w:r>
          </w:p>
        </w:tc>
        <w:tc>
          <w:tcPr>
            <w:tcW w:type="dxa" w:w="2347"/>
            <w:vAlign w:val="center"/>
            <w:tcMar>
              <w:top w:w="100" w:type="dxa"/>
              <w:start w:w="120" w:type="dxa"/>
              <w:bottom w:w="100" w:type="dxa"/>
              <w:end w:w="120" w:type="dxa"/>
            </w:tcMar>
            <w:shd w:fill="F7F9FC"/>
          </w:tcPr>
          <w:p>
            <w:pPr>
              <w:spacing w:after="0"/>
            </w:pPr>
            <w:r/>
            <w:r>
              <w:rPr>
                <w:rFonts w:ascii="Aptos" w:hAnsi="Aptos"/>
                <w:b w:val="0"/>
                <w:color w:val="1F2937"/>
                <w:sz w:val="16"/>
              </w:rPr>
              <w:t>Headless server</w:t>
            </w:r>
          </w:p>
        </w:tc>
        <w:tc>
          <w:tcPr>
            <w:tcW w:type="dxa" w:w="2347"/>
            <w:vAlign w:val="center"/>
            <w:tcMar>
              <w:top w:w="100" w:type="dxa"/>
              <w:start w:w="120" w:type="dxa"/>
              <w:bottom w:w="100" w:type="dxa"/>
              <w:end w:w="120" w:type="dxa"/>
            </w:tcMar>
            <w:shd w:fill="F7F9FC"/>
          </w:tcPr>
          <w:p>
            <w:pPr>
              <w:spacing w:after="0"/>
            </w:pPr>
            <w:r/>
            <w:r>
              <w:rPr>
                <w:rFonts w:ascii="Aptos" w:hAnsi="Aptos"/>
                <w:b w:val="0"/>
                <w:color w:val="1F2937"/>
                <w:sz w:val="16"/>
              </w:rPr>
              <w:t>WSLg; software fallback observed</w:t>
            </w:r>
          </w:p>
        </w:tc>
        <w:tc>
          <w:tcPr>
            <w:tcW w:type="dxa" w:w="3312"/>
            <w:vAlign w:val="center"/>
            <w:tcMar>
              <w:top w:w="100" w:type="dxa"/>
              <w:start w:w="120" w:type="dxa"/>
              <w:bottom w:w="100" w:type="dxa"/>
              <w:end w:w="120" w:type="dxa"/>
            </w:tcMar>
            <w:shd w:fill="F7F9FC"/>
          </w:tcPr>
          <w:p>
            <w:pPr>
              <w:spacing w:after="0"/>
            </w:pPr>
            <w:r/>
            <w:r>
              <w:rPr>
                <w:rFonts w:ascii="Aptos" w:hAnsi="Aptos"/>
                <w:b w:val="0"/>
                <w:color w:val="1F2937"/>
                <w:sz w:val="16"/>
              </w:rPr>
              <w:t>Interactive offline report inspection</w:t>
            </w:r>
          </w:p>
        </w:tc>
      </w:tr>
    </w:tbl>
    <w:p>
      <w:pPr>
        <w:pStyle w:val="Heading1"/>
      </w:pPr>
      <w:r>
        <w:t>3. Server preparation</w:t>
      </w:r>
    </w:p>
    <w:p>
      <w:pPr>
        <w:pStyle w:val="Heading2"/>
      </w:pPr>
      <w:r>
        <w:t>3.1 Nsight Compute installation</w:t>
      </w:r>
    </w:p>
    <w:p>
      <w:r>
        <w:t>The standalone Linux x86-64 Nsight Compute 2026.2.1 installer was copied to the server and installed under a versioned /usr/local directory. A stable symlink was created for operational use.</w:t>
      </w:r>
    </w:p>
    <w:p>
      <w:pPr>
        <w:pStyle w:val="CodeBlock"/>
        <w:keepLines/>
      </w:pPr>
      <w:r>
        <w:t>/usr/local/NVIDIA-Nsight-Compute -&gt; /usr/local/NVIDIA-Nsight-Compute-2026.2</w:t>
        <w:br/>
        <w:t>/usr/local/bin/ncu -&gt; /usr/local/NVIDIA-Nsight-Compute/ncu</w:t>
        <w:br/>
        <w:t>/usr/local/bin/ncu-ui -&gt; /usr/local/NVIDIA-Nsight-Compute/ncu-ui</w:t>
      </w:r>
    </w:p>
    <w:p>
      <w:pPr>
        <w:pStyle w:val="CodeBlock"/>
        <w:keepLines/>
      </w:pPr>
      <w:r>
        <w:t>$ ncu --version</w:t>
        <w:br/>
        <w:t>NVIDIA Nsight Compute Command Line Profiler</w:t>
        <w:br/>
        <w:t>Version 2026.2.1.0 (build 38286902)</w:t>
      </w:r>
    </w:p>
    <w:p>
      <w:r>
        <w:t>The initial ncu link failed because a placeholder path was used literally. The broken links were removed and recreated against the actual installation path. This established a useful operational rule: resolve installer paths with find/readlink before creating persistent links.</w:t>
      </w:r>
    </w:p>
    <w:p>
      <w:pPr>
        <w:pStyle w:val="Heading2"/>
      </w:pPr>
      <w:r>
        <w:t>3.2 Nsight Compute counter permissions</w:t>
      </w:r>
    </w:p>
    <w:p>
      <w:r>
        <w:t>Unprivileged metric discovery detected the A10G but returned ERR_NVGPUCTRPERM. Running the same query through sudo succeeded and returned hardware metrics such as DRAM bytes, sectors, cycles, and throughput. Therefore, the working policy is to use elevated execution for Nsight Compute hardware-counter collection.</w:t>
      </w:r>
    </w:p>
    <w:p>
      <w:pPr>
        <w:pStyle w:val="CodeBlock"/>
        <w:keepLines/>
      </w:pPr>
      <w:r>
        <w:t>$ ncu --query-metrics --devices 0</w:t>
        <w:br/>
        <w:t>Device NVIDIA A10G (GA102)</w:t>
        <w:br/>
        <w:t>ERR_NVGPUCTRPERM</w:t>
        <w:br/>
        <w:br/>
        <w:t>$ sudo /usr/local/bin/ncu --query-metrics --devices 0</w:t>
        <w:br/>
        <w:t>Device NVIDIA A10G (GA102)</w:t>
        <w:br/>
        <w:t>dram__bytes ...</w:t>
        <w:br/>
        <w:t>dram__throughput ...</w:t>
      </w:r>
    </w:p>
    <w:p>
      <w:pPr>
        <w:pStyle w:val="Heading2"/>
      </w:pPr>
      <w:r>
        <w:t>3.3 Virtual-environment interaction</w:t>
      </w:r>
    </w:p>
    <w:p>
      <w:r>
        <w:t>When ncu was launched inside the active Python virtual environment, list-sets completed but ended with an embedded-Python utf-8-sig codec traceback. The same command completed cleanly after deactivating the environment. The application interpreter itself successfully loaded the codec. Future Nsight Compute wrappers should therefore launch ncu from a clean shell and invoke the required virtual-environment Python executable explicitly.</w:t>
      </w:r>
    </w:p>
    <w:p>
      <w:pPr>
        <w:pStyle w:val="CodeBlock"/>
        <w:keepLines/>
      </w:pPr>
      <w:r>
        <w:t>deactivate 2&gt;/dev/null || true</w:t>
        <w:br/>
        <w:t>sudo /usr/local/bin/ncu \</w:t>
        <w:br/>
        <w:t xml:space="preserve">  /home/cbotadmin/env312-vllm024/bin/python target_script.py</w:t>
      </w:r>
    </w:p>
    <w:p>
      <w:pPr>
        <w:pStyle w:val="Heading2"/>
      </w:pPr>
      <w:r>
        <w:t>3.4 Nsight Systems upgrade</w:t>
      </w:r>
    </w:p>
    <w:p>
      <w:r>
        <w:t>The server collector was upgraded from Nsight Systems 2025.1.3 to the 2026.4.1 CLI-only RPM. The CLI-only package was selected intentionally because the server is headless and GUI analysis occurs in WSL.</w:t>
      </w:r>
    </w:p>
    <w:p>
      <w:pPr>
        <w:pStyle w:val="CodeBlock"/>
        <w:keepLines/>
      </w:pPr>
      <w:r>
        <w:t>/opt/nvidia/nsight-systems-cli/2026.4.1/target-linux-x64/nsys</w:t>
        <w:br/>
        <w:t>/usr/local/bin/nsys -&gt; .../2026.4.1/target-linux-x64/nsys</w:t>
        <w:br/>
        <w:t>/usr/local/bin/nsys-2026.4.1 -&gt; .../2026.4.1/target-linux-x64/nsys</w:t>
        <w:br/>
        <w:t>/usr/local/bin/nsys-2025.1.3 -&gt; .../2025.1.3/target-linux-x64/nsys</w:t>
      </w:r>
    </w:p>
    <w:p>
      <w:pPr>
        <w:pStyle w:val="CodeBlock"/>
        <w:keepLines/>
      </w:pPr>
      <w:r>
        <w:t>$ nsys --version</w:t>
        <w:br/>
        <w:t>NVIDIA Nsight Systems version 2026.4.1.191-264138605071v0</w:t>
      </w:r>
    </w:p>
    <w:p>
      <w:r>
        <w:t>The 2025.1.3 binary was intentionally retained as a rollback until the first complete report-generation and report-opening validation is performed.</w:t>
      </w:r>
    </w:p>
    <w:p>
      <w:pPr>
        <w:pStyle w:val="Heading2"/>
      </w:pPr>
      <w:r>
        <w:t>3.5 CUDA and PyTorch version interpretation</w:t>
      </w:r>
    </w:p>
    <w:p>
      <w:r>
        <w:t>The server exposes several valid version layers. They should not be forced to match numerically: the NVIDIA driver reports CUDA compatibility up to 13.2; the system compiler toolkit is CUDA 12.9; and the deployed PyTorch build uses CUDA 13.0 runtime packages. PyTorch successfully recognized the A10G and compute capability 8.6, so no CUDA toolkit replacement was performed.</w:t>
      </w:r>
    </w:p>
    <w:p>
      <w:pPr>
        <w:pStyle w:val="CodeBlock"/>
        <w:keepLines/>
      </w:pPr>
      <w:r>
        <w:t>PyTorch version:          2.11.0+cu130</w:t>
        <w:br/>
        <w:t>PyTorch CUDA runtime:     13.0</w:t>
        <w:br/>
        <w:t>System nvcc toolkit:      12.9</w:t>
        <w:br/>
        <w:t>Driver CUDA capability:   13.2</w:t>
        <w:br/>
        <w:t>GPU compute capability:   8.6</w:t>
      </w:r>
    </w:p>
    <w:p>
      <w:pPr>
        <w:pStyle w:val="Heading1"/>
      </w:pPr>
      <w:r>
        <w:t>4. WSL analysis workstation preparation</w:t>
      </w:r>
    </w:p>
    <w:p>
      <w:pPr>
        <w:pStyle w:val="Heading2"/>
      </w:pPr>
      <w:r>
        <w:t>4.1 Nsight Systems</w:t>
      </w:r>
    </w:p>
    <w:p>
      <w:r>
        <w:t>The full Linux amd64 DEB package for Nsight Systems 2026.4.1 was installed in WSL. The package selected both nsys and nsys-ui through update-alternatives. This WSL installation is the offline report-viewing client for the Linux server collector.</w:t>
      </w:r>
    </w:p>
    <w:p>
      <w:pPr>
        <w:pStyle w:val="CodeBlock"/>
        <w:keepLines/>
      </w:pPr>
      <w:r>
        <w:t>$ nsys --version</w:t>
        <w:br/>
        <w:t>NVIDIA Nsight Systems version 2026.4.1.191-264138605071v0</w:t>
        <w:br/>
        <w:br/>
        <w:t>/usr/local/bin/nsys</w:t>
        <w:br/>
        <w:t xml:space="preserve">  -&gt; /opt/nvidia/nsight-systems/2026.4.1/target-linux-x64/nsys</w:t>
      </w:r>
    </w:p>
    <w:p>
      <w:pPr>
        <w:pStyle w:val="Heading2"/>
      </w:pPr>
      <w:r>
        <w:t>4.2 Nsight Compute</w:t>
      </w:r>
    </w:p>
    <w:p>
      <w:r>
        <w:t>The standalone Nsight Compute 2026.2.1 Linux installer was installed in WSL, replacing the command resolution that previously exposed Nsight Compute 2022.4.1. Stable ncu and ncu-ui links now resolve to the versioned 2026.2 installation.</w:t>
      </w:r>
    </w:p>
    <w:p>
      <w:pPr>
        <w:pStyle w:val="CodeBlock"/>
        <w:keepLines/>
      </w:pPr>
      <w:r>
        <w:t>$ ncu --version</w:t>
        <w:br/>
        <w:t>Version 2026.2.1.0 (build 38286902)</w:t>
        <w:br/>
        <w:br/>
        <w:t>/usr/local/bin/ncu</w:t>
        <w:br/>
        <w:t xml:space="preserve">  -&gt; /usr/local/NVIDIA-Nsight-Compute-2026.2/ncu</w:t>
        <w:br/>
        <w:t>/usr/local/bin/ncu-ui</w:t>
        <w:br/>
        <w:t xml:space="preserve">  -&gt; /usr/local/NVIDIA-Nsight-Compute-2026.2/ncu-ui</w:t>
      </w:r>
    </w:p>
    <w:p>
      <w:pPr>
        <w:pStyle w:val="Heading2"/>
      </w:pPr>
      <w:r>
        <w:t>4.3 GUI validation</w:t>
      </w:r>
    </w:p>
    <w:p>
      <w:r>
        <w:t>Both nsys-ui and ncu-ui opened through WSLg and remained interactive. OpenGL/EGL warnings appeared, including a fallback to Mesa software rendering and Zink device-selection messages. Because both interfaces opened and were usable, these warnings are recorded as a presentation-path limitation rather than a blocker. Collection remains on the A10G server; WSL only renders and analyzes exported reports.</w:t>
      </w:r>
    </w:p>
    <w:p>
      <w:pPr>
        <w:pStyle w:val="Heading2"/>
      </w:pPr>
      <w:r>
        <w:t>4.4 Package cleanup notes</w:t>
      </w:r>
    </w:p>
    <w:p>
      <w:r>
        <w:t>Older package-managed versions were inspected before cleanup. The active Nsight Compute 2026.2.1 installation resides under /usr/local and remains independent of APT. During cleanup, CUDA alternatives warnings appeared because an old /usr/local/cuda-13.0 target no longer existed; update-alternatives removed dangling entries and selected the best available choice. The active Nsight CLI links were revalidated afterward.</w:t>
      </w:r>
    </w:p>
    <w:p>
      <w:pPr>
        <w:pStyle w:val="Heading1"/>
      </w:pPr>
      <w:r>
        <w:t>5. Operational conventions established</w:t>
      </w:r>
    </w:p>
    <w:p>
      <w:pPr>
        <w:spacing w:after="100"/>
      </w:pPr>
      <w:r>
        <w:rPr>
          <w:b/>
          <w:color w:val="2F5597"/>
        </w:rPr>
        <w:t xml:space="preserve">Separate collection from analysis: </w:t>
      </w:r>
      <w:r>
        <w:t>The A10G server produces traces and reports; WSL receives them through SCP and provides interactive GUI analysis.</w:t>
      </w:r>
    </w:p>
    <w:p>
      <w:pPr>
        <w:spacing w:after="100"/>
      </w:pPr>
      <w:r>
        <w:rPr>
          <w:b/>
          <w:color w:val="2F5597"/>
        </w:rPr>
        <w:t xml:space="preserve">Separate profiling from benchmarking: </w:t>
      </w:r>
      <w:r>
        <w:t>Profiler-instrumented runs will explain execution behavior but will not supply benchmark latency values because instrumentation changes execution cost.</w:t>
      </w:r>
    </w:p>
    <w:p>
      <w:pPr>
        <w:spacing w:after="100"/>
      </w:pPr>
      <w:r>
        <w:rPr>
          <w:b/>
          <w:color w:val="2F5597"/>
        </w:rPr>
        <w:t xml:space="preserve">Use versioned report provenance: </w:t>
      </w:r>
      <w:r>
        <w:t>Every captured report will record collector version, analysis-client version, driver, PyTorch runtime, vLLM version, service configuration, and active GPU processes.</w:t>
      </w:r>
    </w:p>
    <w:p>
      <w:pPr>
        <w:spacing w:after="100"/>
      </w:pPr>
      <w:r>
        <w:rPr>
          <w:b/>
          <w:color w:val="2F5597"/>
        </w:rPr>
        <w:t xml:space="preserve">Use elevated NCU only where needed: </w:t>
      </w:r>
      <w:r>
        <w:t>Nsight Compute hardware-counter collection requires sudo on this server. Nsight Systems and PyTorch Profiler should remain unprivileged unless a specific collection feature requires otherwise.</w:t>
      </w:r>
    </w:p>
    <w:p>
      <w:pPr>
        <w:spacing w:after="100"/>
      </w:pPr>
      <w:r>
        <w:rPr>
          <w:b/>
          <w:color w:val="2F5597"/>
        </w:rPr>
        <w:t xml:space="preserve">Launch NCU outside the venv: </w:t>
      </w:r>
      <w:r>
        <w:t>Use a clean profiler environment and explicitly target /home/cbotadmin/env312-vllm024/bin/python.</w:t>
      </w:r>
    </w:p>
    <w:p>
      <w:pPr>
        <w:spacing w:after="100"/>
      </w:pPr>
      <w:r>
        <w:rPr>
          <w:b/>
          <w:color w:val="2F5597"/>
        </w:rPr>
        <w:t xml:space="preserve">Retain rollback until smoke validation: </w:t>
      </w:r>
      <w:r>
        <w:t>The older server nsys binary remains available until a 2026.4.1 report is generated, transferred, opened, and inspected successfully.</w:t>
      </w:r>
    </w:p>
    <w:p>
      <w:pPr>
        <w:spacing w:after="100"/>
      </w:pPr>
      <w:r>
        <w:rPr>
          <w:b/>
          <w:color w:val="2F5597"/>
        </w:rPr>
        <w:t xml:space="preserve">Do not alter CUDA merely for version symmetry: </w:t>
      </w:r>
      <w:r>
        <w:t>Driver compatibility, system toolkit, and framework runtime are distinct layers and are recorded independently.</w:t>
      </w:r>
    </w:p>
    <w:p>
      <w:pPr>
        <w:pStyle w:val="Heading1"/>
      </w:pPr>
      <w:r>
        <w:t>6. Current readiness gate</w:t>
      </w:r>
    </w:p>
    <w:tbl>
      <w:tblPr>
        <w:tblW w:type="auto" w:w="0"/>
        <w:jc w:val="center"/>
        <w:tblLayout w:type="fixed"/>
        <w:tblLook w:firstColumn="1" w:firstRow="1" w:lastColumn="0" w:lastRow="0" w:noHBand="0" w:noVBand="1" w:val="04A0"/>
      </w:tblPr>
      <w:tblGrid>
        <w:gridCol w:w="3312"/>
        <w:gridCol w:w="1584"/>
        <w:gridCol w:w="5760"/>
      </w:tblGrid>
      <w:tr>
        <w:tc>
          <w:tcPr>
            <w:tcW w:type="dxa" w:w="3389"/>
            <w:vAlign w:val="center"/>
            <w:tcMar>
              <w:top w:w="100" w:type="dxa"/>
              <w:start w:w="120" w:type="dxa"/>
              <w:bottom w:w="100" w:type="dxa"/>
              <w:end w:w="120" w:type="dxa"/>
            </w:tcMar>
            <w:shd w:fill="17365D"/>
          </w:tcPr>
          <w:p>
            <w:pPr>
              <w:spacing w:after="0"/>
            </w:pPr>
            <w:r/>
            <w:r>
              <w:rPr>
                <w:rFonts w:ascii="Aptos" w:hAnsi="Aptos"/>
                <w:b/>
                <w:color w:val="FFFFFF"/>
                <w:sz w:val="18"/>
              </w:rPr>
              <w:t>Capability</w:t>
            </w:r>
          </w:p>
        </w:tc>
        <w:tc>
          <w:tcPr>
            <w:tcW w:type="dxa" w:w="3389"/>
            <w:vAlign w:val="center"/>
            <w:tcMar>
              <w:top w:w="100" w:type="dxa"/>
              <w:start w:w="120" w:type="dxa"/>
              <w:bottom w:w="100" w:type="dxa"/>
              <w:end w:w="120" w:type="dxa"/>
            </w:tcMar>
            <w:shd w:fill="17365D"/>
          </w:tcPr>
          <w:p>
            <w:pPr>
              <w:spacing w:after="0"/>
            </w:pPr>
            <w:r/>
            <w:r>
              <w:rPr>
                <w:rFonts w:ascii="Aptos" w:hAnsi="Aptos"/>
                <w:b/>
                <w:color w:val="FFFFFF"/>
                <w:sz w:val="18"/>
              </w:rPr>
              <w:t>Status</w:t>
            </w:r>
          </w:p>
        </w:tc>
        <w:tc>
          <w:tcPr>
            <w:tcW w:type="dxa" w:w="3389"/>
            <w:vAlign w:val="center"/>
            <w:tcMar>
              <w:top w:w="100" w:type="dxa"/>
              <w:start w:w="120" w:type="dxa"/>
              <w:bottom w:w="100" w:type="dxa"/>
              <w:end w:w="120" w:type="dxa"/>
            </w:tcMar>
            <w:shd w:fill="17365D"/>
          </w:tcPr>
          <w:p>
            <w:pPr>
              <w:spacing w:after="0"/>
            </w:pPr>
            <w:r/>
            <w:r>
              <w:rPr>
                <w:rFonts w:ascii="Aptos" w:hAnsi="Aptos"/>
                <w:b/>
                <w:color w:val="FFFFFF"/>
                <w:sz w:val="18"/>
              </w:rPr>
              <w:t>Evidence</w:t>
            </w:r>
          </w:p>
        </w:tc>
      </w:tr>
      <w:tr>
        <w:tc>
          <w:tcPr>
            <w:tcW w:type="dxa" w:w="3312"/>
            <w:vAlign w:val="center"/>
            <w:tcMar>
              <w:top w:w="100" w:type="dxa"/>
              <w:start w:w="120" w:type="dxa"/>
              <w:bottom w:w="100" w:type="dxa"/>
              <w:end w:w="120" w:type="dxa"/>
            </w:tcMar>
            <w:shd w:fill="F7F9FC"/>
          </w:tcPr>
          <w:p>
            <w:pPr>
              <w:spacing w:after="0"/>
            </w:pPr>
            <w:r/>
            <w:r>
              <w:rPr>
                <w:rFonts w:ascii="Aptos" w:hAnsi="Aptos"/>
                <w:b w:val="0"/>
                <w:color w:val="1F2937"/>
                <w:sz w:val="17"/>
              </w:rPr>
              <w:t>PyTorch CUDA execution</w:t>
            </w:r>
          </w:p>
        </w:tc>
        <w:tc>
          <w:tcPr>
            <w:tcW w:type="dxa" w:w="1584"/>
            <w:vAlign w:val="center"/>
            <w:tcMar>
              <w:top w:w="100" w:type="dxa"/>
              <w:start w:w="120" w:type="dxa"/>
              <w:bottom w:w="100" w:type="dxa"/>
              <w:end w:w="120" w:type="dxa"/>
            </w:tcMar>
            <w:shd w:fill="F7F9FC"/>
          </w:tcPr>
          <w:p>
            <w:pPr>
              <w:spacing w:after="0"/>
            </w:pPr>
            <w:r/>
            <w:r>
              <w:rPr>
                <w:rFonts w:ascii="Aptos" w:hAnsi="Aptos"/>
                <w:b/>
                <w:color w:val="107C41"/>
                <w:sz w:val="17"/>
              </w:rPr>
              <w:t>READY</w:t>
            </w:r>
          </w:p>
        </w:tc>
        <w:tc>
          <w:tcPr>
            <w:tcW w:type="dxa" w:w="5760"/>
            <w:vAlign w:val="center"/>
            <w:tcMar>
              <w:top w:w="100" w:type="dxa"/>
              <w:start w:w="120" w:type="dxa"/>
              <w:bottom w:w="100" w:type="dxa"/>
              <w:end w:w="120" w:type="dxa"/>
            </w:tcMar>
            <w:shd w:fill="F7F9FC"/>
          </w:tcPr>
          <w:p>
            <w:pPr>
              <w:spacing w:after="0"/>
            </w:pPr>
            <w:r/>
            <w:r>
              <w:rPr>
                <w:rFonts w:ascii="Aptos" w:hAnsi="Aptos"/>
                <w:b w:val="0"/>
                <w:color w:val="1F2937"/>
                <w:sz w:val="17"/>
              </w:rPr>
              <w:t>A10G detected; CUDA available; compute capability 8.6.</w:t>
            </w:r>
          </w:p>
        </w:tc>
      </w:tr>
      <w:tr>
        <w:tc>
          <w:tcPr>
            <w:tcW w:type="dxa" w:w="3312"/>
            <w:vAlign w:val="center"/>
            <w:tcMar>
              <w:top w:w="100" w:type="dxa"/>
              <w:start w:w="120" w:type="dxa"/>
              <w:bottom w:w="100" w:type="dxa"/>
              <w:end w:w="120" w:type="dxa"/>
            </w:tcMar>
            <w:shd w:fill="FFFFFF"/>
          </w:tcPr>
          <w:p>
            <w:pPr>
              <w:spacing w:after="0"/>
            </w:pPr>
            <w:r/>
            <w:r>
              <w:rPr>
                <w:rFonts w:ascii="Aptos" w:hAnsi="Aptos"/>
                <w:b w:val="0"/>
                <w:color w:val="1F2937"/>
                <w:sz w:val="17"/>
              </w:rPr>
              <w:t>PyTorch Profiler foundation</w:t>
            </w:r>
          </w:p>
        </w:tc>
        <w:tc>
          <w:tcPr>
            <w:tcW w:type="dxa" w:w="1584"/>
            <w:vAlign w:val="center"/>
            <w:tcMar>
              <w:top w:w="100" w:type="dxa"/>
              <w:start w:w="120" w:type="dxa"/>
              <w:bottom w:w="100" w:type="dxa"/>
              <w:end w:w="120" w:type="dxa"/>
            </w:tcMar>
            <w:shd w:fill="FFFFFF"/>
          </w:tcPr>
          <w:p>
            <w:pPr>
              <w:spacing w:after="0"/>
            </w:pPr>
            <w:r/>
            <w:r>
              <w:rPr>
                <w:rFonts w:ascii="Aptos" w:hAnsi="Aptos"/>
                <w:b/>
                <w:color w:val="107C41"/>
                <w:sz w:val="17"/>
              </w:rPr>
              <w:t>READY</w:t>
            </w:r>
          </w:p>
        </w:tc>
        <w:tc>
          <w:tcPr>
            <w:tcW w:type="dxa" w:w="5760"/>
            <w:vAlign w:val="center"/>
            <w:tcMar>
              <w:top w:w="100" w:type="dxa"/>
              <w:start w:w="120" w:type="dxa"/>
              <w:bottom w:w="100" w:type="dxa"/>
              <w:end w:w="120" w:type="dxa"/>
            </w:tcMar>
            <w:shd w:fill="FFFFFF"/>
          </w:tcPr>
          <w:p>
            <w:pPr>
              <w:spacing w:after="0"/>
            </w:pPr>
            <w:r/>
            <w:r>
              <w:rPr>
                <w:rFonts w:ascii="Aptos" w:hAnsi="Aptos"/>
                <w:b w:val="0"/>
                <w:color w:val="1F2937"/>
                <w:sz w:val="17"/>
              </w:rPr>
              <w:t>Included with PyTorch 2.11.0; vLLM-specific integration still to be configured.</w:t>
            </w:r>
          </w:p>
        </w:tc>
      </w:tr>
      <w:tr>
        <w:tc>
          <w:tcPr>
            <w:tcW w:type="dxa" w:w="3312"/>
            <w:vAlign w:val="center"/>
            <w:tcMar>
              <w:top w:w="100" w:type="dxa"/>
              <w:start w:w="120" w:type="dxa"/>
              <w:bottom w:w="100" w:type="dxa"/>
              <w:end w:w="120" w:type="dxa"/>
            </w:tcMar>
            <w:shd w:fill="F7F9FC"/>
          </w:tcPr>
          <w:p>
            <w:pPr>
              <w:spacing w:after="0"/>
            </w:pPr>
            <w:r/>
            <w:r>
              <w:rPr>
                <w:rFonts w:ascii="Aptos" w:hAnsi="Aptos"/>
                <w:b w:val="0"/>
                <w:color w:val="1F2937"/>
                <w:sz w:val="17"/>
              </w:rPr>
              <w:t>Nsight Systems collection</w:t>
            </w:r>
          </w:p>
        </w:tc>
        <w:tc>
          <w:tcPr>
            <w:tcW w:type="dxa" w:w="1584"/>
            <w:vAlign w:val="center"/>
            <w:tcMar>
              <w:top w:w="100" w:type="dxa"/>
              <w:start w:w="120" w:type="dxa"/>
              <w:bottom w:w="100" w:type="dxa"/>
              <w:end w:w="120" w:type="dxa"/>
            </w:tcMar>
            <w:shd w:fill="F7F9FC"/>
          </w:tcPr>
          <w:p>
            <w:pPr>
              <w:spacing w:after="0"/>
            </w:pPr>
            <w:r/>
            <w:r>
              <w:rPr>
                <w:rFonts w:ascii="Aptos" w:hAnsi="Aptos"/>
                <w:b/>
                <w:color w:val="107C41"/>
                <w:sz w:val="17"/>
              </w:rPr>
              <w:t>READY</w:t>
            </w:r>
          </w:p>
        </w:tc>
        <w:tc>
          <w:tcPr>
            <w:tcW w:type="dxa" w:w="5760"/>
            <w:vAlign w:val="center"/>
            <w:tcMar>
              <w:top w:w="100" w:type="dxa"/>
              <w:start w:w="120" w:type="dxa"/>
              <w:bottom w:w="100" w:type="dxa"/>
              <w:end w:w="120" w:type="dxa"/>
            </w:tcMar>
            <w:shd w:fill="F7F9FC"/>
          </w:tcPr>
          <w:p>
            <w:pPr>
              <w:spacing w:after="0"/>
            </w:pPr>
            <w:r/>
            <w:r>
              <w:rPr>
                <w:rFonts w:ascii="Aptos" w:hAnsi="Aptos"/>
                <w:b w:val="0"/>
                <w:color w:val="1F2937"/>
                <w:sz w:val="17"/>
              </w:rPr>
              <w:t>Server CLI 2026.4.1 active.</w:t>
            </w:r>
          </w:p>
        </w:tc>
      </w:tr>
      <w:tr>
        <w:tc>
          <w:tcPr>
            <w:tcW w:type="dxa" w:w="3312"/>
            <w:vAlign w:val="center"/>
            <w:tcMar>
              <w:top w:w="100" w:type="dxa"/>
              <w:start w:w="120" w:type="dxa"/>
              <w:bottom w:w="100" w:type="dxa"/>
              <w:end w:w="120" w:type="dxa"/>
            </w:tcMar>
            <w:shd w:fill="FFFFFF"/>
          </w:tcPr>
          <w:p>
            <w:pPr>
              <w:spacing w:after="0"/>
            </w:pPr>
            <w:r/>
            <w:r>
              <w:rPr>
                <w:rFonts w:ascii="Aptos" w:hAnsi="Aptos"/>
                <w:b w:val="0"/>
                <w:color w:val="1F2937"/>
                <w:sz w:val="17"/>
              </w:rPr>
              <w:t>Nsight Systems GUI analysis</w:t>
            </w:r>
          </w:p>
        </w:tc>
        <w:tc>
          <w:tcPr>
            <w:tcW w:type="dxa" w:w="1584"/>
            <w:vAlign w:val="center"/>
            <w:tcMar>
              <w:top w:w="100" w:type="dxa"/>
              <w:start w:w="120" w:type="dxa"/>
              <w:bottom w:w="100" w:type="dxa"/>
              <w:end w:w="120" w:type="dxa"/>
            </w:tcMar>
            <w:shd w:fill="FFFFFF"/>
          </w:tcPr>
          <w:p>
            <w:pPr>
              <w:spacing w:after="0"/>
            </w:pPr>
            <w:r/>
            <w:r>
              <w:rPr>
                <w:rFonts w:ascii="Aptos" w:hAnsi="Aptos"/>
                <w:b/>
                <w:color w:val="107C41"/>
                <w:sz w:val="17"/>
              </w:rPr>
              <w:t>READY</w:t>
            </w:r>
          </w:p>
        </w:tc>
        <w:tc>
          <w:tcPr>
            <w:tcW w:type="dxa" w:w="5760"/>
            <w:vAlign w:val="center"/>
            <w:tcMar>
              <w:top w:w="100" w:type="dxa"/>
              <w:start w:w="120" w:type="dxa"/>
              <w:bottom w:w="100" w:type="dxa"/>
              <w:end w:w="120" w:type="dxa"/>
            </w:tcMar>
            <w:shd w:fill="FFFFFF"/>
          </w:tcPr>
          <w:p>
            <w:pPr>
              <w:spacing w:after="0"/>
            </w:pPr>
            <w:r/>
            <w:r>
              <w:rPr>
                <w:rFonts w:ascii="Aptos" w:hAnsi="Aptos"/>
                <w:b w:val="0"/>
                <w:color w:val="1F2937"/>
                <w:sz w:val="17"/>
              </w:rPr>
              <w:t>WSL GUI 2026.4.1 opened and was interactive.</w:t>
            </w:r>
          </w:p>
        </w:tc>
      </w:tr>
      <w:tr>
        <w:tc>
          <w:tcPr>
            <w:tcW w:type="dxa" w:w="3312"/>
            <w:vAlign w:val="center"/>
            <w:tcMar>
              <w:top w:w="100" w:type="dxa"/>
              <w:start w:w="120" w:type="dxa"/>
              <w:bottom w:w="100" w:type="dxa"/>
              <w:end w:w="120" w:type="dxa"/>
            </w:tcMar>
            <w:shd w:fill="F7F9FC"/>
          </w:tcPr>
          <w:p>
            <w:pPr>
              <w:spacing w:after="0"/>
            </w:pPr>
            <w:r/>
            <w:r>
              <w:rPr>
                <w:rFonts w:ascii="Aptos" w:hAnsi="Aptos"/>
                <w:b w:val="0"/>
                <w:color w:val="1F2937"/>
                <w:sz w:val="17"/>
              </w:rPr>
              <w:t>Nsight Compute collection</w:t>
            </w:r>
          </w:p>
        </w:tc>
        <w:tc>
          <w:tcPr>
            <w:tcW w:type="dxa" w:w="1584"/>
            <w:vAlign w:val="center"/>
            <w:tcMar>
              <w:top w:w="100" w:type="dxa"/>
              <w:start w:w="120" w:type="dxa"/>
              <w:bottom w:w="100" w:type="dxa"/>
              <w:end w:w="120" w:type="dxa"/>
            </w:tcMar>
            <w:shd w:fill="F7F9FC"/>
          </w:tcPr>
          <w:p>
            <w:pPr>
              <w:spacing w:after="0"/>
            </w:pPr>
            <w:r/>
            <w:r>
              <w:rPr>
                <w:rFonts w:ascii="Aptos" w:hAnsi="Aptos"/>
                <w:b/>
                <w:color w:val="107C41"/>
                <w:sz w:val="17"/>
              </w:rPr>
              <w:t>READY*</w:t>
            </w:r>
          </w:p>
        </w:tc>
        <w:tc>
          <w:tcPr>
            <w:tcW w:type="dxa" w:w="5760"/>
            <w:vAlign w:val="center"/>
            <w:tcMar>
              <w:top w:w="100" w:type="dxa"/>
              <w:start w:w="120" w:type="dxa"/>
              <w:bottom w:w="100" w:type="dxa"/>
              <w:end w:w="120" w:type="dxa"/>
            </w:tcMar>
            <w:shd w:fill="F7F9FC"/>
          </w:tcPr>
          <w:p>
            <w:pPr>
              <w:spacing w:after="0"/>
            </w:pPr>
            <w:r/>
            <w:r>
              <w:rPr>
                <w:rFonts w:ascii="Aptos" w:hAnsi="Aptos"/>
                <w:b w:val="0"/>
                <w:color w:val="1F2937"/>
                <w:sz w:val="17"/>
              </w:rPr>
              <w:t>Server CLI 2026.2.1; hardware counters accessible through sudo.</w:t>
            </w:r>
          </w:p>
        </w:tc>
      </w:tr>
      <w:tr>
        <w:tc>
          <w:tcPr>
            <w:tcW w:type="dxa" w:w="3312"/>
            <w:vAlign w:val="center"/>
            <w:tcMar>
              <w:top w:w="100" w:type="dxa"/>
              <w:start w:w="120" w:type="dxa"/>
              <w:bottom w:w="100" w:type="dxa"/>
              <w:end w:w="120" w:type="dxa"/>
            </w:tcMar>
            <w:shd w:fill="FFFFFF"/>
          </w:tcPr>
          <w:p>
            <w:pPr>
              <w:spacing w:after="0"/>
            </w:pPr>
            <w:r/>
            <w:r>
              <w:rPr>
                <w:rFonts w:ascii="Aptos" w:hAnsi="Aptos"/>
                <w:b w:val="0"/>
                <w:color w:val="1F2937"/>
                <w:sz w:val="17"/>
              </w:rPr>
              <w:t>Nsight Compute GUI analysis</w:t>
            </w:r>
          </w:p>
        </w:tc>
        <w:tc>
          <w:tcPr>
            <w:tcW w:type="dxa" w:w="1584"/>
            <w:vAlign w:val="center"/>
            <w:tcMar>
              <w:top w:w="100" w:type="dxa"/>
              <w:start w:w="120" w:type="dxa"/>
              <w:bottom w:w="100" w:type="dxa"/>
              <w:end w:w="120" w:type="dxa"/>
            </w:tcMar>
            <w:shd w:fill="FFFFFF"/>
          </w:tcPr>
          <w:p>
            <w:pPr>
              <w:spacing w:after="0"/>
            </w:pPr>
            <w:r/>
            <w:r>
              <w:rPr>
                <w:rFonts w:ascii="Aptos" w:hAnsi="Aptos"/>
                <w:b/>
                <w:color w:val="107C41"/>
                <w:sz w:val="17"/>
              </w:rPr>
              <w:t>READY</w:t>
            </w:r>
          </w:p>
        </w:tc>
        <w:tc>
          <w:tcPr>
            <w:tcW w:type="dxa" w:w="5760"/>
            <w:vAlign w:val="center"/>
            <w:tcMar>
              <w:top w:w="100" w:type="dxa"/>
              <w:start w:w="120" w:type="dxa"/>
              <w:bottom w:w="100" w:type="dxa"/>
              <w:end w:w="120" w:type="dxa"/>
            </w:tcMar>
            <w:shd w:fill="FFFFFF"/>
          </w:tcPr>
          <w:p>
            <w:pPr>
              <w:spacing w:after="0"/>
            </w:pPr>
            <w:r/>
            <w:r>
              <w:rPr>
                <w:rFonts w:ascii="Aptos" w:hAnsi="Aptos"/>
                <w:b w:val="0"/>
                <w:color w:val="1F2937"/>
                <w:sz w:val="17"/>
              </w:rPr>
              <w:t>WSL GUI 2026.2.1 opened and was interactive.</w:t>
            </w:r>
          </w:p>
        </w:tc>
      </w:tr>
      <w:tr>
        <w:tc>
          <w:tcPr>
            <w:tcW w:type="dxa" w:w="3312"/>
            <w:vAlign w:val="center"/>
            <w:tcMar>
              <w:top w:w="100" w:type="dxa"/>
              <w:start w:w="120" w:type="dxa"/>
              <w:bottom w:w="100" w:type="dxa"/>
              <w:end w:w="120" w:type="dxa"/>
            </w:tcMar>
            <w:shd w:fill="F7F9FC"/>
          </w:tcPr>
          <w:p>
            <w:pPr>
              <w:spacing w:after="0"/>
            </w:pPr>
            <w:r/>
            <w:r>
              <w:rPr>
                <w:rFonts w:ascii="Aptos" w:hAnsi="Aptos"/>
                <w:b w:val="0"/>
                <w:color w:val="1F2937"/>
                <w:sz w:val="17"/>
              </w:rPr>
              <w:t>Experimental measurements</w:t>
            </w:r>
          </w:p>
        </w:tc>
        <w:tc>
          <w:tcPr>
            <w:tcW w:type="dxa" w:w="1584"/>
            <w:vAlign w:val="center"/>
            <w:tcMar>
              <w:top w:w="100" w:type="dxa"/>
              <w:start w:w="120" w:type="dxa"/>
              <w:bottom w:w="100" w:type="dxa"/>
              <w:end w:w="120" w:type="dxa"/>
            </w:tcMar>
            <w:shd w:fill="F7F9FC"/>
          </w:tcPr>
          <w:p>
            <w:pPr>
              <w:spacing w:after="0"/>
            </w:pPr>
            <w:r/>
            <w:r>
              <w:rPr>
                <w:rFonts w:ascii="Aptos" w:hAnsi="Aptos"/>
                <w:b/>
                <w:color w:val="B54708"/>
                <w:sz w:val="17"/>
              </w:rPr>
              <w:t>NOT STARTED</w:t>
            </w:r>
          </w:p>
        </w:tc>
        <w:tc>
          <w:tcPr>
            <w:tcW w:type="dxa" w:w="5760"/>
            <w:vAlign w:val="center"/>
            <w:tcMar>
              <w:top w:w="100" w:type="dxa"/>
              <w:start w:w="120" w:type="dxa"/>
              <w:bottom w:w="100" w:type="dxa"/>
              <w:end w:w="120" w:type="dxa"/>
            </w:tcMar>
            <w:shd w:fill="F7F9FC"/>
          </w:tcPr>
          <w:p>
            <w:pPr>
              <w:spacing w:after="0"/>
            </w:pPr>
            <w:r/>
            <w:r>
              <w:rPr>
                <w:rFonts w:ascii="Aptos" w:hAnsi="Aptos"/>
                <w:b w:val="0"/>
                <w:color w:val="1F2937"/>
                <w:sz w:val="17"/>
              </w:rPr>
              <w:t>Intentionally deferred until one constant harness and protocol are finalized.</w:t>
            </w:r>
          </w:p>
        </w:tc>
      </w:tr>
    </w:tbl>
    <w:p>
      <w:pPr>
        <w:pStyle w:val="Heading1"/>
      </w:pPr>
      <w:r>
        <w:t>7. Explicitly deferred work</w:t>
      </w:r>
    </w:p>
    <w:p>
      <w:pPr>
        <w:pStyle w:val="ListBullet"/>
      </w:pPr>
      <w:r>
        <w:t>Create one immutable experimental harness used by normal and speculative decoding conditions.</w:t>
      </w:r>
    </w:p>
    <w:p>
      <w:pPr>
        <w:pStyle w:val="ListBullet"/>
      </w:pPr>
      <w:r>
        <w:t>Normalize both vLLM service definitions so that speculative configuration is the only intended runtime difference.</w:t>
      </w:r>
    </w:p>
    <w:p>
      <w:pPr>
        <w:pStyle w:val="ListBullet"/>
      </w:pPr>
      <w:r>
        <w:t>Define workload prompts, seed and sampling controls, token budgets, concurrency levels, warm-up behavior, repetitions, and exclusion rules.</w:t>
      </w:r>
    </w:p>
    <w:p>
      <w:pPr>
        <w:pStyle w:val="ListBullet"/>
      </w:pPr>
      <w:r>
        <w:t>Validate one minimal PyTorch Profiler trace, one .nsys-rep, and one .ncu-rep end to end before profiling vLLM.</w:t>
      </w:r>
    </w:p>
    <w:p>
      <w:pPr>
        <w:pStyle w:val="ListBullet"/>
      </w:pPr>
      <w:r>
        <w:t>Define report naming, metadata manifests, checksums, raw artifact retention, and analysis notebooks or scripts.</w:t>
      </w:r>
    </w:p>
    <w:p>
      <w:pPr>
        <w:pStyle w:val="ListBullet"/>
      </w:pPr>
      <w:r>
        <w:t>Only then begin baseline and comparative measurements.</w:t>
      </w:r>
    </w:p>
    <w:p>
      <w:pPr>
        <w:pStyle w:val="Heading1"/>
      </w:pPr>
      <w:r>
        <w:t>8. Re-entry checklist for Step 0.1</w:t>
      </w:r>
    </w:p>
    <w:p>
      <w:pPr>
        <w:pStyle w:val="ListNumber"/>
      </w:pPr>
      <w:r>
        <w:t>Confirm no tool versions or symlink targets have changed since this checkpoint.</w:t>
      </w:r>
    </w:p>
    <w:p>
      <w:pPr>
        <w:pStyle w:val="ListNumber"/>
      </w:pPr>
      <w:r>
        <w:t>Run nvidia-smi and identify every resident GPU process before any smoke collection.</w:t>
      </w:r>
    </w:p>
    <w:p>
      <w:pPr>
        <w:pStyle w:val="ListNumber"/>
      </w:pPr>
      <w:r>
        <w:t>Generate a tiny deterministic PyTorch CUDA workload with explicit warm-up and synchronization.</w:t>
      </w:r>
    </w:p>
    <w:p>
      <w:pPr>
        <w:pStyle w:val="ListNumber"/>
      </w:pPr>
      <w:r>
        <w:t>Collect a PyTorch trace, Nsight Systems report, and Nsight Compute report from that workload.</w:t>
      </w:r>
    </w:p>
    <w:p>
      <w:pPr>
        <w:pStyle w:val="ListNumber"/>
      </w:pPr>
      <w:r>
        <w:t>Transfer the reports to WSL and confirm both GUIs can open the artifacts, not merely launch.</w:t>
      </w:r>
    </w:p>
    <w:p>
      <w:pPr>
        <w:pStyle w:val="ListNumber"/>
      </w:pPr>
      <w:r>
        <w:t>After end-to-end validation, design and freeze the production vLLM experiment harness.</w:t>
      </w:r>
    </w:p>
    <w:p>
      <w:pPr>
        <w:pStyle w:val="Heading1"/>
      </w:pPr>
      <w:r>
        <w:t>9. Checkpoint conclusion</w:t>
      </w:r>
    </w:p>
    <w:p>
      <w:r>
        <w:t>Step 0 established a working remote GPU-profiling toolchain without modifying the production decoding workload or generating experimental results. The environment now supports framework-level, system-level, and kernel-level investigation. The remaining methodological priority is to freeze one controlled harness before producing any comparative evidence.</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7085"/>
        <w:sz w:val="16"/>
      </w:rPr>
      <w:t>GPU Profiling Study  |  Platform Preparation Checkpoint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17" w:right="173"/>
      <w:shd w:fill="F2F4F7"/>
    </w:pPr>
    <w:rPr>
      <w:rFonts w:ascii="Liberation Mono" w:hAnsi="Liberation Mono"/>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GPU Profiling Step 0: Preparing the Profiling Platforms</dc:title>
  <dc:subject>A10G server collectors and WSL GUI client preparation checkpoint</dc:subject>
  <dc:creator>Suwesh Prasad Sah- IT</dc:creator>
  <keywords>GPU profiling, NVIDIA A10G, PyTorch Profiler, Nsight Systems, Nsight Compute, vLLM</keywords>
  <dc:description>generated by python-docx</dc:description>
  <lastModifiedBy>Suwesh Prasad Sah- IT</lastModifiedBy>
  <revision>1</revision>
  <dcterms:created xsi:type="dcterms:W3CDTF">2026-09-02T08:48:33.7226390Z</dcterms:created>
  <dcterms:modified xsi:type="dcterms:W3CDTF">2026-09-02T08:48:33.7226390Z</dcterms:modified>
  <category/>
</coreProperties>
</file>