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CB11" w14:textId="77777777" w:rsidR="00BE2EA1" w:rsidRDefault="00000000">
      <w:pPr>
        <w:spacing w:after="40"/>
        <w:jc w:val="center"/>
      </w:pPr>
      <w:r>
        <w:rPr>
          <w:rFonts w:ascii="Arial" w:hAnsi="Arial"/>
          <w:b/>
          <w:color w:val="1A365D"/>
          <w:sz w:val="32"/>
        </w:rPr>
        <w:t>Project Design Phase</w:t>
      </w:r>
    </w:p>
    <w:p w14:paraId="59F14588" w14:textId="77777777" w:rsidR="00BE2EA1" w:rsidRDefault="00000000">
      <w:pPr>
        <w:jc w:val="center"/>
      </w:pPr>
      <w:r>
        <w:rPr>
          <w:rFonts w:ascii="Arial" w:hAnsi="Arial"/>
          <w:b/>
          <w:color w:val="2B6CB0"/>
          <w:sz w:val="28"/>
        </w:rPr>
        <w:t>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BE2EA1" w14:paraId="34C07692" w14:textId="77777777">
        <w:trPr>
          <w:jc w:val="center"/>
        </w:trPr>
        <w:tc>
          <w:tcPr>
            <w:tcW w:w="2592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6413" w14:textId="77777777" w:rsidR="00BE2EA1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Date</w:t>
            </w:r>
          </w:p>
        </w:tc>
        <w:tc>
          <w:tcPr>
            <w:tcW w:w="74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F56F" w14:textId="77777777" w:rsidR="00BE2EA1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1 October 2026</w:t>
            </w:r>
          </w:p>
        </w:tc>
      </w:tr>
      <w:tr w:rsidR="00BE2EA1" w14:paraId="3F1AEB94" w14:textId="77777777">
        <w:trPr>
          <w:jc w:val="center"/>
        </w:trPr>
        <w:tc>
          <w:tcPr>
            <w:tcW w:w="2592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914F" w14:textId="77777777" w:rsidR="00BE2EA1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Team ID</w:t>
            </w:r>
          </w:p>
        </w:tc>
        <w:tc>
          <w:tcPr>
            <w:tcW w:w="74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6E79" w14:textId="7ADAA9B4" w:rsidR="00BE2EA1" w:rsidRDefault="00BE2EA1">
            <w:pPr>
              <w:spacing w:after="0"/>
            </w:pPr>
          </w:p>
        </w:tc>
      </w:tr>
      <w:tr w:rsidR="00BE2EA1" w14:paraId="680153C1" w14:textId="77777777">
        <w:trPr>
          <w:jc w:val="center"/>
        </w:trPr>
        <w:tc>
          <w:tcPr>
            <w:tcW w:w="2592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5B85" w14:textId="77777777" w:rsidR="00BE2EA1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Project Name</w:t>
            </w:r>
          </w:p>
        </w:tc>
        <w:tc>
          <w:tcPr>
            <w:tcW w:w="74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AD1E" w14:textId="77777777" w:rsidR="00BE2EA1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Auto Ticket Classification using Flow Designer</w:t>
            </w:r>
          </w:p>
        </w:tc>
      </w:tr>
      <w:tr w:rsidR="00BE2EA1" w14:paraId="012C185A" w14:textId="77777777">
        <w:trPr>
          <w:jc w:val="center"/>
        </w:trPr>
        <w:tc>
          <w:tcPr>
            <w:tcW w:w="2592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69F" w14:textId="77777777" w:rsidR="00BE2EA1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Maximum Marks</w:t>
            </w:r>
          </w:p>
        </w:tc>
        <w:tc>
          <w:tcPr>
            <w:tcW w:w="74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EDA1" w14:textId="77777777" w:rsidR="00BE2EA1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4 Marks</w:t>
            </w:r>
          </w:p>
        </w:tc>
      </w:tr>
    </w:tbl>
    <w:p w14:paraId="13AEE687" w14:textId="77777777" w:rsidR="00BE2EA1" w:rsidRDefault="00BE2EA1">
      <w:pPr>
        <w:spacing w:after="120"/>
      </w:pPr>
    </w:p>
    <w:p w14:paraId="37CE7481" w14:textId="77777777" w:rsidR="00BE2EA1" w:rsidRDefault="00000000">
      <w:pPr>
        <w:spacing w:before="240" w:after="80"/>
      </w:pPr>
      <w:r>
        <w:rPr>
          <w:rFonts w:ascii="Arial" w:hAnsi="Arial"/>
          <w:b/>
          <w:color w:val="1A365D"/>
          <w:sz w:val="24"/>
        </w:rPr>
        <w:t>Solution Architecture:</w:t>
      </w:r>
    </w:p>
    <w:p w14:paraId="06584555" w14:textId="77777777" w:rsidR="00BE2EA1" w:rsidRDefault="00000000">
      <w:pPr>
        <w:spacing w:after="120"/>
      </w:pPr>
      <w:r>
        <w:rPr>
          <w:rFonts w:ascii="Arial" w:hAnsi="Arial"/>
          <w:sz w:val="20"/>
        </w:rPr>
        <w:t>Solution architecture is a complex process – with many sub-processes – that bridges the gap between business problems and technology solutions. Its goals are to:</w:t>
      </w:r>
    </w:p>
    <w:p w14:paraId="03687C30" w14:textId="77777777" w:rsidR="00BE2EA1" w:rsidRDefault="00000000">
      <w:pPr>
        <w:pStyle w:val="ListBullet"/>
        <w:spacing w:after="60"/>
      </w:pPr>
      <w:r>
        <w:rPr>
          <w:rFonts w:ascii="Arial" w:hAnsi="Arial"/>
          <w:sz w:val="19"/>
        </w:rPr>
        <w:t>Find the best tech solution to solve existing business problems.</w:t>
      </w:r>
    </w:p>
    <w:p w14:paraId="5A70FAA7" w14:textId="77777777" w:rsidR="00BE2EA1" w:rsidRDefault="00000000">
      <w:pPr>
        <w:pStyle w:val="ListBullet"/>
        <w:spacing w:after="60"/>
      </w:pPr>
      <w:r>
        <w:rPr>
          <w:rFonts w:ascii="Arial" w:hAnsi="Arial"/>
          <w:sz w:val="19"/>
        </w:rPr>
        <w:t>Describe the structure, characteristics, behavior, and other aspects of the software to project stakeholders.</w:t>
      </w:r>
    </w:p>
    <w:p w14:paraId="3B4CC1DE" w14:textId="77777777" w:rsidR="00BE2EA1" w:rsidRDefault="00000000">
      <w:pPr>
        <w:pStyle w:val="ListBullet"/>
        <w:spacing w:after="60"/>
      </w:pPr>
      <w:r>
        <w:rPr>
          <w:rFonts w:ascii="Arial" w:hAnsi="Arial"/>
          <w:sz w:val="19"/>
        </w:rPr>
        <w:t>Define features, development phases, and solution requirements.</w:t>
      </w:r>
    </w:p>
    <w:p w14:paraId="0AB63C64" w14:textId="05EE59BF" w:rsidR="00BE2EA1" w:rsidRPr="00C23C6A" w:rsidRDefault="00000000">
      <w:pPr>
        <w:pStyle w:val="ListBullet"/>
        <w:spacing w:after="60"/>
      </w:pPr>
      <w:r>
        <w:rPr>
          <w:rFonts w:ascii="Arial" w:hAnsi="Arial"/>
          <w:sz w:val="19"/>
        </w:rPr>
        <w:t>Provide specifications according to which the solution is defined, managed, and delivered.</w:t>
      </w:r>
      <w:r w:rsidR="00C23C6A">
        <w:rPr>
          <w:rFonts w:ascii="Arial" w:hAnsi="Arial"/>
          <w:sz w:val="19"/>
        </w:rPr>
        <w:t xml:space="preserve">     </w:t>
      </w:r>
    </w:p>
    <w:p w14:paraId="20866E5C" w14:textId="77777777" w:rsidR="00C23C6A" w:rsidRDefault="00C23C6A" w:rsidP="00C23C6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Arial" w:hAnsi="Arial"/>
          <w:sz w:val="19"/>
        </w:rPr>
      </w:pPr>
    </w:p>
    <w:p w14:paraId="3D8E2C81" w14:textId="77777777" w:rsidR="00C23C6A" w:rsidRDefault="00C23C6A" w:rsidP="00C23C6A">
      <w:pPr>
        <w:pStyle w:val="ListBullet"/>
        <w:numPr>
          <w:ilvl w:val="0"/>
          <w:numId w:val="0"/>
        </w:numPr>
        <w:spacing w:after="60"/>
        <w:ind w:left="360" w:hanging="360"/>
        <w:rPr>
          <w:rFonts w:ascii="Arial" w:hAnsi="Arial"/>
          <w:sz w:val="19"/>
        </w:rPr>
      </w:pPr>
    </w:p>
    <w:p w14:paraId="67377417" w14:textId="434910EE" w:rsidR="00C23C6A" w:rsidRDefault="00C23C6A" w:rsidP="00C23C6A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1FEC3B8A" wp14:editId="0A24DD43">
            <wp:extent cx="5736590" cy="2569210"/>
            <wp:effectExtent l="0" t="0" r="0" b="2540"/>
            <wp:docPr id="1744363645" name="Pictur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8924" w14:textId="77777777" w:rsidR="00C23C6A" w:rsidRDefault="00C23C6A">
      <w:pPr>
        <w:spacing w:before="120" w:after="160"/>
        <w:rPr>
          <w:rFonts w:ascii="Arial" w:hAnsi="Arial"/>
          <w:sz w:val="19"/>
        </w:rPr>
      </w:pPr>
    </w:p>
    <w:p w14:paraId="0AB4999D" w14:textId="77777777" w:rsidR="00C23C6A" w:rsidRDefault="00C23C6A">
      <w:pPr>
        <w:spacing w:before="120" w:after="160"/>
        <w:rPr>
          <w:rFonts w:ascii="Arial" w:hAnsi="Arial"/>
          <w:sz w:val="19"/>
        </w:rPr>
      </w:pPr>
    </w:p>
    <w:p w14:paraId="399B7DCD" w14:textId="77777777" w:rsidR="00C23C6A" w:rsidRDefault="00C23C6A">
      <w:pPr>
        <w:spacing w:before="120" w:after="160"/>
        <w:rPr>
          <w:rFonts w:ascii="Arial" w:hAnsi="Arial"/>
          <w:sz w:val="19"/>
        </w:rPr>
      </w:pPr>
    </w:p>
    <w:p w14:paraId="0C377A89" w14:textId="4D75C1E0" w:rsidR="00BE2EA1" w:rsidRDefault="00000000">
      <w:pPr>
        <w:spacing w:before="120" w:after="160"/>
      </w:pPr>
      <w:r>
        <w:rPr>
          <w:rFonts w:ascii="Arial" w:hAnsi="Arial"/>
          <w:sz w:val="19"/>
        </w:rPr>
        <w:t>In the context of Auto Ticket Classification using Flow Designer, the solution architecture defines an automated, no-code workflow in ServiceNow that processes incoming support and incident tickets in real time. Upon incident creation, a Flow Designer trigger evaluates the ticket text (Short Description &amp; Description), identifies the appropriate Category and Subcategory based on rule logic, automatically updates the incident fields, and hands the ticket off for normal incident processing.</w:t>
      </w:r>
    </w:p>
    <w:p w14:paraId="1204D783" w14:textId="77777777" w:rsidR="00C23C6A" w:rsidRDefault="00C23C6A">
      <w:pPr>
        <w:spacing w:before="240" w:after="80"/>
        <w:rPr>
          <w:rFonts w:ascii="Arial" w:hAnsi="Arial"/>
          <w:b/>
          <w:color w:val="1A365D"/>
          <w:sz w:val="24"/>
        </w:rPr>
      </w:pPr>
    </w:p>
    <w:p w14:paraId="476481B5" w14:textId="3E7694E8" w:rsidR="00BE2EA1" w:rsidRDefault="00000000">
      <w:pPr>
        <w:spacing w:before="240" w:after="80"/>
      </w:pPr>
      <w:r>
        <w:rPr>
          <w:rFonts w:ascii="Arial" w:hAnsi="Arial"/>
          <w:b/>
          <w:color w:val="1A365D"/>
          <w:sz w:val="24"/>
        </w:rPr>
        <w:lastRenderedPageBreak/>
        <w:t>Solution Architecture &amp; Workflow Diagram: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E2EA1" w14:paraId="2C81F6AE" w14:textId="77777777">
        <w:trPr>
          <w:jc w:val="center"/>
        </w:trPr>
        <w:tc>
          <w:tcPr>
            <w:tcW w:w="9360" w:type="dxa"/>
            <w:shd w:val="clear" w:color="auto" w:fill="E2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0CF79" w14:textId="77777777" w:rsidR="00BE2EA1" w:rsidRDefault="00000000"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Step 1: Ticket Creation</w:t>
            </w:r>
          </w:p>
          <w:p w14:paraId="66B4432D" w14:textId="77777777" w:rsidR="00BE2EA1" w:rsidRDefault="00000000">
            <w:pPr>
              <w:spacing w:after="0"/>
            </w:pPr>
            <w:r>
              <w:rPr>
                <w:rFonts w:ascii="Arial" w:hAnsi="Arial"/>
                <w:i/>
                <w:color w:val="4A5568"/>
                <w:sz w:val="17"/>
              </w:rPr>
              <w:t>Incident/Ticket is created or submitted via ServiceNow Portal / Email / ITIL Form</w:t>
            </w:r>
          </w:p>
        </w:tc>
      </w:tr>
      <w:tr w:rsidR="00BE2EA1" w14:paraId="2DC126A1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0E1492E" w14:textId="77777777" w:rsidR="00BE2EA1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718096"/>
              </w:rPr>
              <w:t>↓</w:t>
            </w:r>
          </w:p>
        </w:tc>
      </w:tr>
      <w:tr w:rsidR="00BE2EA1" w14:paraId="07DFC717" w14:textId="77777777">
        <w:trPr>
          <w:jc w:val="center"/>
        </w:trPr>
        <w:tc>
          <w:tcPr>
            <w:tcW w:w="9360" w:type="dxa"/>
            <w:shd w:val="clear" w:color="auto" w:fill="EB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3BBD0" w14:textId="77777777" w:rsidR="00BE2EA1" w:rsidRDefault="00000000"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Step 2: Flow Designer Trigger</w:t>
            </w:r>
          </w:p>
          <w:p w14:paraId="527905C9" w14:textId="77777777" w:rsidR="00BE2EA1" w:rsidRDefault="00000000">
            <w:pPr>
              <w:spacing w:after="0"/>
            </w:pPr>
            <w:r>
              <w:rPr>
                <w:rFonts w:ascii="Arial" w:hAnsi="Arial"/>
                <w:i/>
                <w:color w:val="4A5568"/>
                <w:sz w:val="17"/>
              </w:rPr>
              <w:t>ServiceNow Flow Designer is triggered automatically upon record insertion on incident table</w:t>
            </w:r>
          </w:p>
        </w:tc>
      </w:tr>
      <w:tr w:rsidR="00BE2EA1" w14:paraId="338828A8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EE57361" w14:textId="77777777" w:rsidR="00BE2EA1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718096"/>
              </w:rPr>
              <w:t>↓</w:t>
            </w:r>
          </w:p>
        </w:tc>
      </w:tr>
      <w:tr w:rsidR="00BE2EA1" w14:paraId="1887BA24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C7566" w14:textId="77777777" w:rsidR="00BE2EA1" w:rsidRDefault="00000000"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Step 3: Ticket Details Evaluated</w:t>
            </w:r>
          </w:p>
          <w:p w14:paraId="6C807EA7" w14:textId="77777777" w:rsidR="00BE2EA1" w:rsidRDefault="00000000">
            <w:pPr>
              <w:spacing w:after="0"/>
            </w:pPr>
            <w:r>
              <w:rPr>
                <w:rFonts w:ascii="Arial" w:hAnsi="Arial"/>
                <w:i/>
                <w:color w:val="4A5568"/>
                <w:sz w:val="17"/>
              </w:rPr>
              <w:t>Flow condition logic inspects Short Description, Description, and Caller parameters</w:t>
            </w:r>
          </w:p>
        </w:tc>
      </w:tr>
      <w:tr w:rsidR="00BE2EA1" w14:paraId="5F55822B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9FCB917" w14:textId="77777777" w:rsidR="00BE2EA1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718096"/>
              </w:rPr>
              <w:t>↓</w:t>
            </w:r>
          </w:p>
        </w:tc>
      </w:tr>
      <w:tr w:rsidR="00BE2EA1" w14:paraId="7EDDE45C" w14:textId="77777777">
        <w:trPr>
          <w:jc w:val="center"/>
        </w:trPr>
        <w:tc>
          <w:tcPr>
            <w:tcW w:w="9360" w:type="dxa"/>
            <w:shd w:val="clear" w:color="auto" w:fill="E6FF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F8B27" w14:textId="77777777" w:rsidR="00BE2EA1" w:rsidRDefault="00000000"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Step 4: Category Selection</w:t>
            </w:r>
          </w:p>
          <w:p w14:paraId="483A47B6" w14:textId="77777777" w:rsidR="00BE2EA1" w:rsidRDefault="00000000">
            <w:pPr>
              <w:spacing w:after="0"/>
            </w:pPr>
            <w:r>
              <w:rPr>
                <w:rFonts w:ascii="Arial" w:hAnsi="Arial"/>
                <w:i/>
                <w:color w:val="4A5568"/>
                <w:sz w:val="17"/>
              </w:rPr>
              <w:t>Matching rule identifies and assigns the primary Category (e.g., Software, Hardware, Network)</w:t>
            </w:r>
          </w:p>
        </w:tc>
      </w:tr>
      <w:tr w:rsidR="00BE2EA1" w14:paraId="761F8201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18E960F" w14:textId="77777777" w:rsidR="00BE2EA1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718096"/>
              </w:rPr>
              <w:t>↓</w:t>
            </w:r>
          </w:p>
        </w:tc>
      </w:tr>
      <w:tr w:rsidR="00BE2EA1" w14:paraId="5457C633" w14:textId="77777777">
        <w:trPr>
          <w:jc w:val="center"/>
        </w:trPr>
        <w:tc>
          <w:tcPr>
            <w:tcW w:w="9360" w:type="dxa"/>
            <w:shd w:val="clear" w:color="auto" w:fill="E6FF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B6849" w14:textId="77777777" w:rsidR="00BE2EA1" w:rsidRDefault="00000000"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Step 5: Subcategory Selection</w:t>
            </w:r>
          </w:p>
          <w:p w14:paraId="636C7F2D" w14:textId="77777777" w:rsidR="00BE2EA1" w:rsidRDefault="00000000">
            <w:pPr>
              <w:spacing w:after="0"/>
            </w:pPr>
            <w:r>
              <w:rPr>
                <w:rFonts w:ascii="Arial" w:hAnsi="Arial"/>
                <w:i/>
                <w:color w:val="4A5568"/>
                <w:sz w:val="17"/>
              </w:rPr>
              <w:t>Secondary rule logic selects the precise Subcategory based on the selected primary Category</w:t>
            </w:r>
          </w:p>
        </w:tc>
      </w:tr>
      <w:tr w:rsidR="00BE2EA1" w14:paraId="3F27C37D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65B7F19" w14:textId="77777777" w:rsidR="00BE2EA1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718096"/>
              </w:rPr>
              <w:t>↓</w:t>
            </w:r>
          </w:p>
        </w:tc>
      </w:tr>
      <w:tr w:rsidR="00BE2EA1" w14:paraId="5D63EBD6" w14:textId="77777777">
        <w:trPr>
          <w:jc w:val="center"/>
        </w:trPr>
        <w:tc>
          <w:tcPr>
            <w:tcW w:w="9360" w:type="dxa"/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37157" w14:textId="77777777" w:rsidR="00BE2EA1" w:rsidRDefault="00000000"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Step 6: Ticket Updated</w:t>
            </w:r>
          </w:p>
          <w:p w14:paraId="14A01C21" w14:textId="77777777" w:rsidR="00BE2EA1" w:rsidRDefault="00000000">
            <w:pPr>
              <w:spacing w:after="0"/>
            </w:pPr>
            <w:r>
              <w:rPr>
                <w:rFonts w:ascii="Arial" w:hAnsi="Arial"/>
                <w:i/>
                <w:color w:val="4A5568"/>
                <w:sz w:val="17"/>
              </w:rPr>
              <w:t>Category, Subcategory, and Assignment Group fields are automatically updated on the incident record</w:t>
            </w:r>
          </w:p>
        </w:tc>
      </w:tr>
      <w:tr w:rsidR="00BE2EA1" w14:paraId="167377D3" w14:textId="77777777">
        <w:trPr>
          <w:jc w:val="center"/>
        </w:trPr>
        <w:tc>
          <w:tcPr>
            <w:tcW w:w="9360" w:type="dxa"/>
            <w:shd w:val="clear" w:color="auto" w:fill="FFFFFF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D5B6661" w14:textId="77777777" w:rsidR="00BE2EA1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718096"/>
              </w:rPr>
              <w:t>↓</w:t>
            </w:r>
          </w:p>
        </w:tc>
      </w:tr>
      <w:tr w:rsidR="00BE2EA1" w14:paraId="4316433D" w14:textId="77777777">
        <w:trPr>
          <w:jc w:val="center"/>
        </w:trPr>
        <w:tc>
          <w:tcPr>
            <w:tcW w:w="9360" w:type="dxa"/>
            <w:shd w:val="clear" w:color="auto" w:fill="EDF2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8924C" w14:textId="77777777" w:rsidR="00BE2EA1" w:rsidRDefault="00000000">
            <w:pPr>
              <w:spacing w:after="40"/>
            </w:pPr>
            <w:r>
              <w:rPr>
                <w:rFonts w:ascii="Arial" w:hAnsi="Arial"/>
                <w:b/>
                <w:color w:val="1A365D"/>
                <w:sz w:val="19"/>
              </w:rPr>
              <w:t>Step 7: Normal Incident Processing</w:t>
            </w:r>
          </w:p>
          <w:p w14:paraId="37A153BD" w14:textId="77777777" w:rsidR="00BE2EA1" w:rsidRDefault="00000000">
            <w:pPr>
              <w:spacing w:after="0"/>
            </w:pPr>
            <w:r>
              <w:rPr>
                <w:rFonts w:ascii="Arial" w:hAnsi="Arial"/>
                <w:i/>
                <w:color w:val="4A5568"/>
                <w:sz w:val="17"/>
              </w:rPr>
              <w:t>Classified incident proceeds to specialized support teams for resolution &amp; SLA tracking</w:t>
            </w:r>
          </w:p>
        </w:tc>
      </w:tr>
    </w:tbl>
    <w:p w14:paraId="481E633C" w14:textId="77777777" w:rsidR="00BE2EA1" w:rsidRDefault="00000000">
      <w:pPr>
        <w:spacing w:before="160" w:after="80"/>
        <w:jc w:val="center"/>
      </w:pPr>
      <w:r>
        <w:rPr>
          <w:rFonts w:ascii="Arial" w:hAnsi="Arial"/>
          <w:b/>
          <w:i/>
          <w:color w:val="2D3748"/>
          <w:sz w:val="18"/>
        </w:rPr>
        <w:t>Figure 1: Solution Architecture and Workflow of Auto Ticket Classification using Flow Designer</w:t>
      </w:r>
    </w:p>
    <w:sectPr w:rsidR="00BE2EA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4487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651111">
    <w:abstractNumId w:val="8"/>
  </w:num>
  <w:num w:numId="2" w16cid:durableId="1025247830">
    <w:abstractNumId w:val="6"/>
  </w:num>
  <w:num w:numId="3" w16cid:durableId="2028680172">
    <w:abstractNumId w:val="5"/>
  </w:num>
  <w:num w:numId="4" w16cid:durableId="826363579">
    <w:abstractNumId w:val="4"/>
  </w:num>
  <w:num w:numId="5" w16cid:durableId="733968196">
    <w:abstractNumId w:val="7"/>
  </w:num>
  <w:num w:numId="6" w16cid:durableId="1585798583">
    <w:abstractNumId w:val="3"/>
  </w:num>
  <w:num w:numId="7" w16cid:durableId="7996509">
    <w:abstractNumId w:val="2"/>
  </w:num>
  <w:num w:numId="8" w16cid:durableId="1153519974">
    <w:abstractNumId w:val="1"/>
  </w:num>
  <w:num w:numId="9" w16cid:durableId="63480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FEC"/>
    <w:rsid w:val="0029639D"/>
    <w:rsid w:val="00326F90"/>
    <w:rsid w:val="00AA1D8D"/>
    <w:rsid w:val="00B47730"/>
    <w:rsid w:val="00BE2EA1"/>
    <w:rsid w:val="00C23C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2D276"/>
  <w14:defaultImageDpi w14:val="300"/>
  <w15:docId w15:val="{82CF257B-76D4-4D39-88DC-FFE8A4CA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Suwetha M</cp:lastModifiedBy>
  <cp:revision>2</cp:revision>
  <dcterms:created xsi:type="dcterms:W3CDTF">2026-10-01T10:01:00Z</dcterms:created>
  <dcterms:modified xsi:type="dcterms:W3CDTF">2026-10-01T10:01:00Z</dcterms:modified>
  <cp:category/>
</cp:coreProperties>
</file>