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Calibri" w:cs="Calibri" w:eastAsia="Calibri" w:hAnsi="Calibri"/>
          <w:b/>
          <w:bCs/>
        </w:rPr>
        <w:t xml:space="preserve">RIASEC (Holland Code) Interest Questionnaire</w:t>
      </w:r>
    </w:p>
    <w:p>
      <w:pPr>
        <w:spacing w:after="300"/>
      </w:pPr>
      <w:r>
        <w:rPr>
          <w:rFonts w:ascii="Calibri" w:cs="Calibri" w:eastAsia="Calibri" w:hAnsi="Calibri"/>
          <w:color w:val="44546A"/>
          <w:sz w:val="28"/>
          <w:szCs w:val="28"/>
        </w:rPr>
        <w:t xml:space="preserve">Developer Specification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For: </w:t>
      </w:r>
      <w:r>
        <w:rPr>
          <w:rFonts w:ascii="Calibri" w:cs="Calibri" w:eastAsia="Calibri" w:hAnsi="Calibri"/>
          <w:sz w:val="22"/>
          <w:szCs w:val="22"/>
        </w:rPr>
        <w:t xml:space="preserve">MyEduPort.ai — "Interactive Personality Tests" feature (helps students discover strengths/interests to guide career and study decisions). Companion instrument to the IPIP-50 personality assessment.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Instrument: </w:t>
      </w:r>
      <w:r>
        <w:rPr>
          <w:rFonts w:ascii="Calibri" w:cs="Calibri" w:eastAsia="Calibri" w:hAnsi="Calibri"/>
          <w:sz w:val="22"/>
          <w:szCs w:val="22"/>
        </w:rPr>
        <w:t xml:space="preserve">O*NET Interest Profiler Short Form — Paper-and-Pencil Version (60 items), based on John Holland's RIASEC theory of vocational interests.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Source: </w:t>
      </w:r>
      <w:r>
        <w:rPr>
          <w:rFonts w:ascii="Calibri" w:cs="Calibri" w:eastAsia="Calibri" w:hAnsi="Calibri"/>
          <w:sz w:val="22"/>
          <w:szCs w:val="22"/>
        </w:rPr>
        <w:t xml:space="preserve">National Center for O*NET Development, sponsored by the U.S. Department of Labor, Employment and Training Administration. Item text from </w:t>
      </w:r>
      <w:hyperlink w:history="1" r:id="rIdwaoib61brrxavmxs779gz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IPSF_PP.pdf</w:t>
        </w:r>
      </w:hyperlink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License: </w:t>
      </w:r>
      <w:r>
        <w:rPr>
          <w:rFonts w:ascii="Calibri" w:cs="Calibri" w:eastAsia="Calibri" w:hAnsi="Calibri"/>
          <w:sz w:val="22"/>
          <w:szCs w:val="22"/>
        </w:rPr>
        <w:t xml:space="preserve">Not public domain — see Section 7. Requires attribution and a license choice before shipping.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 version: </w:t>
      </w:r>
      <w:r>
        <w:rPr>
          <w:rFonts w:ascii="Calibri" w:cs="Calibri" w:eastAsia="Calibri" w:hAnsi="Calibri"/>
          <w:sz w:val="22"/>
          <w:szCs w:val="22"/>
        </w:rPr>
        <w:t xml:space="preserve">1.0 — prepared 2026-08-25</w:t>
      </w:r>
    </w:p>
    <w:p>
      <w:pPr>
        <w:pStyle w:val="Heading1"/>
        <w:spacing w:after="160" w:before="360"/>
      </w:pPr>
      <w:r>
        <w:t xml:space="preserve">1. What This Measures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RIASEC ("Holland Code") theory groups vocational interests into six types. Everyone has a mix of all six; the assessment ranks them so a person's top 2–3 types describe their interest profile.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50"/>
      </w:tblGrid>
      <w:tr>
        <w:trPr>
          <w:tblHeader/>
        </w:trPr>
        <w:tc>
          <w:tcPr>
            <w:tcW w:type="dxa" w:w="90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60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5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Plain-language framing for students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Realistic ("Doers")</w:t>
            </w:r>
          </w:p>
        </w:tc>
        <w:tc>
          <w:tcPr>
            <w:tcW w:type="dxa" w:w="58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Working with tools, machines, hands-on building, the outdoors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Investigative ("Thinkers")</w:t>
            </w:r>
          </w:p>
        </w:tc>
        <w:tc>
          <w:tcPr>
            <w:tcW w:type="dxa" w:w="58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Research, analysis, science, solving abstract problems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Artistic ("Creators")</w:t>
            </w:r>
          </w:p>
        </w:tc>
        <w:tc>
          <w:tcPr>
            <w:tcW w:type="dxa" w:w="58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Creative expression — writing, music, design, performance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Social ("Helpers")</w:t>
            </w:r>
          </w:p>
        </w:tc>
        <w:tc>
          <w:tcPr>
            <w:tcW w:type="dxa" w:w="58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Teaching, counseling, caregiving, working directly with people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Enterprising ("Persuaders")</w:t>
            </w:r>
          </w:p>
        </w:tc>
        <w:tc>
          <w:tcPr>
            <w:tcW w:type="dxa" w:w="58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Leading, selling, starting ventures, influencing others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Conventional ("Organizers")</w:t>
            </w:r>
          </w:p>
        </w:tc>
        <w:tc>
          <w:tcPr>
            <w:tcW w:type="dxa" w:w="58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Data, detail, structure, organizing information and records</w:t>
            </w:r>
          </w:p>
        </w:tc>
      </w:tr>
    </w:tbl>
    <w:p>
      <w:pPr>
        <w:spacing w:after="160" w:before="200"/>
      </w:pPr>
      <w:r>
        <w:rPr>
          <w:rFonts w:ascii="Calibri" w:cs="Calibri" w:eastAsia="Calibri" w:hAnsi="Calibri"/>
          <w:sz w:val="22"/>
          <w:szCs w:val="22"/>
        </w:rPr>
        <w:t xml:space="preserve">This is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self-insight / career-exploration tool</w:t>
      </w:r>
      <w:r>
        <w:rPr>
          <w:rFonts w:ascii="Calibri" w:cs="Calibri" w:eastAsia="Calibri" w:hAnsi="Calibri"/>
          <w:sz w:val="22"/>
          <w:szCs w:val="22"/>
        </w:rPr>
        <w:t xml:space="preserve">, not a clinical or diagnostic instrument, and it does not predict job performance. The UI copy and results screen should make that explicit to students and parents (see Section 6).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Unlike the IPIP-50 (which scores five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continuous</w:t>
      </w:r>
      <w:r>
        <w:rPr>
          <w:rFonts w:ascii="Calibri" w:cs="Calibri" w:eastAsia="Calibri" w:hAnsi="Calibri"/>
          <w:sz w:val="22"/>
          <w:szCs w:val="22"/>
        </w:rPr>
        <w:t xml:space="preserve"> trait averages), RIASEC scoring produces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ranked 3-letter code</w:t>
      </w:r>
      <w:r>
        <w:rPr>
          <w:rFonts w:ascii="Calibri" w:cs="Calibri" w:eastAsia="Calibri" w:hAnsi="Calibri"/>
          <w:sz w:val="22"/>
          <w:szCs w:val="22"/>
        </w:rPr>
        <w:t xml:space="preserve"> (e.g., "SAI") — the primary UI output is that code plus the six underlying counts, not a single number per type.</w:t>
      </w:r>
    </w:p>
    <w:p>
      <w:pPr>
        <w:pStyle w:val="Heading1"/>
        <w:spacing w:after="160" w:before="360"/>
      </w:pPr>
      <w:r>
        <w:t xml:space="preserve">2. Administration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Instructions shown to the student before the items (verbatim from the official worksheet — keep this wording, it affects validity):</w:t>
      </w:r>
    </w:p>
    <w:p>
      <w:pPr>
        <w:pBdr>
          <w:left w:val="single" w:color="8DA3C4" w:sz="12" w:space="8"/>
        </w:pBdr>
        <w:spacing w:after="200" w:before="100"/>
        <w:ind w:left="480"/>
      </w:pPr>
      <w:r>
        <w:rPr>
          <w:rFonts w:ascii="Calibri" w:cs="Calibri" w:eastAsia="Calibri" w:hAnsi="Calibri"/>
          <w:i/>
          <w:iCs/>
          <w:color w:val="44546A"/>
          <w:sz w:val="22"/>
          <w:szCs w:val="22"/>
        </w:rPr>
        <w:t xml:space="preserve">Read the 60 work activities below. Place a check in the box by the activities you would like to do. Do not think about how much education/training is needed or how much money you will make!</w:t>
      </w:r>
    </w:p>
    <w:p>
      <w:pPr>
        <w:pStyle w:val="Heading2"/>
        <w:spacing w:after="120" w:before="280"/>
      </w:pPr>
      <w:r>
        <w:t xml:space="preserve">Response format — binary, per item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official paper-and-pencil short form is a checklist, not a Likert scale: for each activity the student either checks it ("I would like doing this") or leaves it unchecked ("I would not like doing this / not sure"). Score each response as: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rPr>
          <w:tblHeader/>
        </w:trPr>
        <w:tc>
          <w:tcPr>
            <w:tcW w:type="dxa" w:w="160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775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Checked — "I would like to do this"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77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Unchecked — "I would not like to do this" / not sure</w:t>
            </w:r>
          </w:p>
        </w:tc>
      </w:tr>
    </w:tbl>
    <w:p>
      <w:pPr>
        <w:spacing w:after="1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 not switch this to a 5-point Likert scale without revalidating</w:t>
      </w:r>
      <w:r>
        <w:rPr>
          <w:rFonts w:ascii="Calibri" w:cs="Calibri" w:eastAsia="Calibri" w:hAnsi="Calibri"/>
          <w:sz w:val="22"/>
          <w:szCs w:val="22"/>
        </w:rPr>
        <w:t xml:space="preserve"> — the published scoring key (Section 4) and item pool were normed on the binary format. (O*NET's separate 5-point "emoji scale" web version is a different, independently-normed variant; treat it as a distinct instrument if adopted later, not an interchangeable UI skin on this item set.)</w:t>
      </w:r>
    </w:p>
    <w:p>
      <w:pPr>
        <w:pStyle w:val="Heading2"/>
        <w:spacing w:after="120" w:before="280"/>
      </w:pPr>
      <w:r>
        <w:t xml:space="preserve">Item order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official worksheet groups the 60 items into six labeled sections of 10 (Realistic, then Investigative, Artistic, Social, Enterprising, Conventional, in that order) so students can self-score by section. You may keep this grouped order (simplest, matches the source worksheet) or present items in a single shuffled sequence for reduced order/fatigue bias — either is acceptable since scoring only requires knowing each item's type, not its position. If you shuffle, do not tell students which type an item belongs to.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Recommended UX: one section (or ~10 items) per screen, progress indicator, allow back-navigation, require all 60 answered before scoring. Typical completion time is 10–15 minutes.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The 60 Items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Each item is a work activity; the student marks whether they'd like to do it. Grouped here by type (this is also the published worksheet order):</w:t>
      </w:r>
    </w:p>
    <w:p>
      <w:pPr>
        <w:pStyle w:val="Heading2"/>
        <w:spacing w:after="120" w:before="280"/>
      </w:pPr>
      <w:r>
        <w:t xml:space="preserve">Realistic (R)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rPr>
          <w:tblHeader/>
        </w:trPr>
        <w:tc>
          <w:tcPr>
            <w:tcW w:type="dxa" w:w="140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95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dxa" w:w="7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kitchen cabinets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79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Lay brick or tile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R3</w:t>
            </w:r>
          </w:p>
        </w:tc>
        <w:tc>
          <w:tcPr>
            <w:tcW w:type="dxa" w:w="7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Repair household appliances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R4</w:t>
            </w:r>
          </w:p>
        </w:tc>
        <w:tc>
          <w:tcPr>
            <w:tcW w:type="dxa" w:w="79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Raise fish in a fish hatchery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R5</w:t>
            </w:r>
          </w:p>
        </w:tc>
        <w:tc>
          <w:tcPr>
            <w:tcW w:type="dxa" w:w="7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Assemble electronic parts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R6</w:t>
            </w:r>
          </w:p>
        </w:tc>
        <w:tc>
          <w:tcPr>
            <w:tcW w:type="dxa" w:w="79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Drive a truck to deliver packages to offices and homes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R7</w:t>
            </w:r>
          </w:p>
        </w:tc>
        <w:tc>
          <w:tcPr>
            <w:tcW w:type="dxa" w:w="7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 the quality of parts before shipment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R8</w:t>
            </w:r>
          </w:p>
        </w:tc>
        <w:tc>
          <w:tcPr>
            <w:tcW w:type="dxa" w:w="79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Repair and install locks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R9</w:t>
            </w:r>
          </w:p>
        </w:tc>
        <w:tc>
          <w:tcPr>
            <w:tcW w:type="dxa" w:w="7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 up and operate machines to make products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R10</w:t>
            </w:r>
          </w:p>
        </w:tc>
        <w:tc>
          <w:tcPr>
            <w:tcW w:type="dxa" w:w="79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Put out forest fires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t xml:space="preserve">Investigative (I)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rPr>
          <w:tblHeader/>
        </w:trPr>
        <w:tc>
          <w:tcPr>
            <w:tcW w:type="dxa" w:w="140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95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I1</w:t>
            </w:r>
          </w:p>
        </w:tc>
        <w:tc>
          <w:tcPr>
            <w:tcW w:type="dxa" w:w="7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Develop a new medicine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I2</w:t>
            </w:r>
          </w:p>
        </w:tc>
        <w:tc>
          <w:tcPr>
            <w:tcW w:type="dxa" w:w="79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Study ways to reduce water pollution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I3</w:t>
            </w:r>
          </w:p>
        </w:tc>
        <w:tc>
          <w:tcPr>
            <w:tcW w:type="dxa" w:w="7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Conduct chemical experiments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I4</w:t>
            </w:r>
          </w:p>
        </w:tc>
        <w:tc>
          <w:tcPr>
            <w:tcW w:type="dxa" w:w="79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Study the movement of planets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I5</w:t>
            </w:r>
          </w:p>
        </w:tc>
        <w:tc>
          <w:tcPr>
            <w:tcW w:type="dxa" w:w="7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Examine blood samples using a microscope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I6</w:t>
            </w:r>
          </w:p>
        </w:tc>
        <w:tc>
          <w:tcPr>
            <w:tcW w:type="dxa" w:w="79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Investigate the cause of a fire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I7</w:t>
            </w:r>
          </w:p>
        </w:tc>
        <w:tc>
          <w:tcPr>
            <w:tcW w:type="dxa" w:w="7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Develop a way to better predict the weather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I8</w:t>
            </w:r>
          </w:p>
        </w:tc>
        <w:tc>
          <w:tcPr>
            <w:tcW w:type="dxa" w:w="79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 in a biology lab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I9</w:t>
            </w:r>
          </w:p>
        </w:tc>
        <w:tc>
          <w:tcPr>
            <w:tcW w:type="dxa" w:w="7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Invent a replacement for sugar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I10</w:t>
            </w:r>
          </w:p>
        </w:tc>
        <w:tc>
          <w:tcPr>
            <w:tcW w:type="dxa" w:w="79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 laboratory tests to identify diseases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t xml:space="preserve">Artistic (A)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rPr>
          <w:tblHeader/>
        </w:trPr>
        <w:tc>
          <w:tcPr>
            <w:tcW w:type="dxa" w:w="140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95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7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Write books or plays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A2</w:t>
            </w:r>
          </w:p>
        </w:tc>
        <w:tc>
          <w:tcPr>
            <w:tcW w:type="dxa" w:w="79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Play a musical instrument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A3</w:t>
            </w:r>
          </w:p>
        </w:tc>
        <w:tc>
          <w:tcPr>
            <w:tcW w:type="dxa" w:w="7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Compose or arrange music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A4</w:t>
            </w:r>
          </w:p>
        </w:tc>
        <w:tc>
          <w:tcPr>
            <w:tcW w:type="dxa" w:w="79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Draw pictures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A5</w:t>
            </w:r>
          </w:p>
        </w:tc>
        <w:tc>
          <w:tcPr>
            <w:tcW w:type="dxa" w:w="7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special effects for movies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A6</w:t>
            </w:r>
          </w:p>
        </w:tc>
        <w:tc>
          <w:tcPr>
            <w:tcW w:type="dxa" w:w="79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Paint sets for plays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A7</w:t>
            </w:r>
          </w:p>
        </w:tc>
        <w:tc>
          <w:tcPr>
            <w:tcW w:type="dxa" w:w="7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Write scripts for movies or television shows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A8</w:t>
            </w:r>
          </w:p>
        </w:tc>
        <w:tc>
          <w:tcPr>
            <w:tcW w:type="dxa" w:w="79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Perform jazz or tap dance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A9</w:t>
            </w:r>
          </w:p>
        </w:tc>
        <w:tc>
          <w:tcPr>
            <w:tcW w:type="dxa" w:w="7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Sing in a band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A10</w:t>
            </w:r>
          </w:p>
        </w:tc>
        <w:tc>
          <w:tcPr>
            <w:tcW w:type="dxa" w:w="79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Edit movies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t xml:space="preserve">Social (S)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rPr>
          <w:tblHeader/>
        </w:trPr>
        <w:tc>
          <w:tcPr>
            <w:tcW w:type="dxa" w:w="140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95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7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Teach an individual an exercise routine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79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Help people with personal or emotional problems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7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Give career guidance to people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W w:type="dxa" w:w="79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Perform rehabilitation therapy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S5</w:t>
            </w:r>
          </w:p>
        </w:tc>
        <w:tc>
          <w:tcPr>
            <w:tcW w:type="dxa" w:w="7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 volunteer work at a non-profit organization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S6</w:t>
            </w:r>
          </w:p>
        </w:tc>
        <w:tc>
          <w:tcPr>
            <w:tcW w:type="dxa" w:w="79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Teach children how to play sports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S7</w:t>
            </w:r>
          </w:p>
        </w:tc>
        <w:tc>
          <w:tcPr>
            <w:tcW w:type="dxa" w:w="7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Teach sign language to people who are deaf or hard of hearing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S8</w:t>
            </w:r>
          </w:p>
        </w:tc>
        <w:tc>
          <w:tcPr>
            <w:tcW w:type="dxa" w:w="79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Help conduct a group therapy session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S9</w:t>
            </w:r>
          </w:p>
        </w:tc>
        <w:tc>
          <w:tcPr>
            <w:tcW w:type="dxa" w:w="7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Take care of children at a day-care center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S10</w:t>
            </w:r>
          </w:p>
        </w:tc>
        <w:tc>
          <w:tcPr>
            <w:tcW w:type="dxa" w:w="79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Teach a high-school class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t xml:space="preserve">Enterprising (E)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rPr>
          <w:tblHeader/>
        </w:trPr>
        <w:tc>
          <w:tcPr>
            <w:tcW w:type="dxa" w:w="140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95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E1</w:t>
            </w:r>
          </w:p>
        </w:tc>
        <w:tc>
          <w:tcPr>
            <w:tcW w:type="dxa" w:w="7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Buy and sell stocks and bonds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E2</w:t>
            </w:r>
          </w:p>
        </w:tc>
        <w:tc>
          <w:tcPr>
            <w:tcW w:type="dxa" w:w="79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Manage a retail store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E3</w:t>
            </w:r>
          </w:p>
        </w:tc>
        <w:tc>
          <w:tcPr>
            <w:tcW w:type="dxa" w:w="7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Operate a beauty salon or barber shop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E4</w:t>
            </w:r>
          </w:p>
        </w:tc>
        <w:tc>
          <w:tcPr>
            <w:tcW w:type="dxa" w:w="79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Manage a department within a large company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E5</w:t>
            </w:r>
          </w:p>
        </w:tc>
        <w:tc>
          <w:tcPr>
            <w:tcW w:type="dxa" w:w="7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Start your own business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E6</w:t>
            </w:r>
          </w:p>
        </w:tc>
        <w:tc>
          <w:tcPr>
            <w:tcW w:type="dxa" w:w="79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Negotiate business contracts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E7</w:t>
            </w:r>
          </w:p>
        </w:tc>
        <w:tc>
          <w:tcPr>
            <w:tcW w:type="dxa" w:w="7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Represent a client in a lawsuit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E8</w:t>
            </w:r>
          </w:p>
        </w:tc>
        <w:tc>
          <w:tcPr>
            <w:tcW w:type="dxa" w:w="79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Market a new line of clothing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E9</w:t>
            </w:r>
          </w:p>
        </w:tc>
        <w:tc>
          <w:tcPr>
            <w:tcW w:type="dxa" w:w="7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Sell merchandise at a department store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E10</w:t>
            </w:r>
          </w:p>
        </w:tc>
        <w:tc>
          <w:tcPr>
            <w:tcW w:type="dxa" w:w="79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Manage a clothing store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t xml:space="preserve">Conventional (C)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rPr>
          <w:tblHeader/>
        </w:trPr>
        <w:tc>
          <w:tcPr>
            <w:tcW w:type="dxa" w:w="140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95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7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Develop a spreadsheet using computer software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W w:type="dxa" w:w="79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Proofread records or forms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dxa" w:w="7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Install software across computers on a large network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C4</w:t>
            </w:r>
          </w:p>
        </w:tc>
        <w:tc>
          <w:tcPr>
            <w:tcW w:type="dxa" w:w="79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Operate a calculator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C5</w:t>
            </w:r>
          </w:p>
        </w:tc>
        <w:tc>
          <w:tcPr>
            <w:tcW w:type="dxa" w:w="7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Keep shipping and receiving records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C6</w:t>
            </w:r>
          </w:p>
        </w:tc>
        <w:tc>
          <w:tcPr>
            <w:tcW w:type="dxa" w:w="79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Calculate the wages of employees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C7</w:t>
            </w:r>
          </w:p>
        </w:tc>
        <w:tc>
          <w:tcPr>
            <w:tcW w:type="dxa" w:w="7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Inventory supplies using a hand-held computer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C8</w:t>
            </w:r>
          </w:p>
        </w:tc>
        <w:tc>
          <w:tcPr>
            <w:tcW w:type="dxa" w:w="79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Record rent payments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C9</w:t>
            </w:r>
          </w:p>
        </w:tc>
        <w:tc>
          <w:tcPr>
            <w:tcW w:type="dxa" w:w="7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Keep inventory records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C10</w:t>
            </w:r>
          </w:p>
        </w:tc>
        <w:tc>
          <w:tcPr>
            <w:tcW w:type="dxa" w:w="79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Stamp, sort, and distribute mail for an organization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 w:before="100"/>
      </w:pPr>
      <w:r>
        <w:rPr>
          <w:rFonts w:ascii="Calibri" w:cs="Calibri" w:eastAsia="Calibri" w:hAnsi="Calibri"/>
          <w:sz w:val="22"/>
          <w:szCs w:val="22"/>
        </w:rPr>
        <w:t xml:space="preserve">A ready-to-import data file with every item's 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text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type</w:t>
      </w:r>
      <w:r>
        <w:rPr>
          <w:rFonts w:ascii="Calibri" w:cs="Calibri" w:eastAsia="Calibri" w:hAnsi="Calibri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sz w:val="20"/>
          <w:szCs w:val="20"/>
        </w:rPr>
        <w:t xml:space="preserve">typeName</w:t>
      </w:r>
      <w:r>
        <w:rPr>
          <w:rFonts w:ascii="Calibri" w:cs="Calibri" w:eastAsia="Calibri" w:hAnsi="Calibri"/>
          <w:sz w:val="22"/>
          <w:szCs w:val="22"/>
        </w:rPr>
        <w:t xml:space="preserve"> is included alongside this document: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riasec_items.json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Scoring Key</w:t>
      </w:r>
    </w:p>
    <w:p>
      <w:pPr>
        <w:pStyle w:val="Heading2"/>
        <w:spacing w:after="120" w:before="280"/>
      </w:pPr>
      <w:r>
        <w:t xml:space="preserve">Step 1 — Raw score per type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For each of the six types, count the number of items in that type the student checked ("liked"):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7E6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score[type] = sum of response values (0 or 1) for that type's 10 items</w:t>
            </w:r>
          </w:p>
        </w:tc>
      </w:tr>
    </w:tbl>
    <w:p>
      <w:pPr>
        <w:spacing w:after="160" w:before="160"/>
      </w:pPr>
      <w:r>
        <w:rPr>
          <w:rFonts w:ascii="Calibri" w:cs="Calibri" w:eastAsia="Calibri" w:hAnsi="Calibri"/>
          <w:sz w:val="22"/>
          <w:szCs w:val="22"/>
        </w:rPr>
        <w:t xml:space="preserve">Score range per type: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0–10</w:t>
      </w:r>
      <w:r>
        <w:rPr>
          <w:rFonts w:ascii="Calibri" w:cs="Calibri" w:eastAsia="Calibri" w:hAnsi="Calibri"/>
          <w:sz w:val="22"/>
          <w:szCs w:val="22"/>
        </w:rPr>
        <w:t xml:space="preserve">. Do not average — this differs from the IPIP-50's 1–5 average; RIASEC is a sum.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7E6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const RIASEC_TYPES = ["R", "I", "A", "S", "E", "C"];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function scoreRiasec(responses, items)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// responses: { itemId: 0 | 1, ... } for all 60 items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// items: the riasec_items.json array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const totals = Object.fromEntries(RIASEC_TYPES.map(t =&gt; [t, 0]));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for (const item of items)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totals[item.type] += responses[item.id] ? 1 :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return totals; // e.g. { R: 3, I: 7, A: 8, S: 6, E: 2, C: 4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20" w:before="280"/>
      </w:pPr>
      <w:r>
        <w:t xml:space="preserve">Step 2 — Rank and derive the Holland Code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Sort the six types by score, descending. The Holland Code is the initials of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top 3</w:t>
      </w:r>
      <w:r>
        <w:rPr>
          <w:rFonts w:ascii="Calibri" w:cs="Calibri" w:eastAsia="Calibri" w:hAnsi="Calibri"/>
          <w:sz w:val="22"/>
          <w:szCs w:val="22"/>
        </w:rPr>
        <w:t xml:space="preserve">, in rank order (e.g., scores </w:t>
      </w:r>
      <w:r>
        <w:rPr>
          <w:rFonts w:ascii="Consolas" w:cs="Consolas" w:eastAsia="Consolas" w:hAnsi="Consolas"/>
          <w:sz w:val="20"/>
          <w:szCs w:val="20"/>
        </w:rPr>
        <w:t xml:space="preserve">{A:8, I:7, S:6, C:4, R:3, E:2}</w:t>
      </w:r>
      <w:r>
        <w:rPr>
          <w:rFonts w:ascii="Calibri" w:cs="Calibri" w:eastAsia="Calibri" w:hAnsi="Calibri"/>
          <w:sz w:val="22"/>
          <w:szCs w:val="22"/>
        </w:rPr>
        <w:t xml:space="preserve"> → code </w:t>
      </w:r>
      <w:r>
        <w:rPr>
          <w:b/>
          <w:bCs/>
        </w:rPr>
        <w:t xml:space="preserve">"AIS"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7E6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function hollandCode(totals)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const ranked = RIASEC_TYPES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.map(t =&gt; ({ type: t, score: totals[t] }))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.sort((a, b) =&gt; b.score - a.score);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return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ranked,                                   // full 6-type ranking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code: ranked.slice(0, 3).map(r =&gt; r.type).join(""), // e.g. "AIS"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Ties: </w:t>
      </w:r>
      <w:r>
        <w:rPr>
          <w:rFonts w:ascii="Calibri" w:cs="Calibri" w:eastAsia="Calibri" w:hAnsi="Calibri"/>
          <w:sz w:val="22"/>
          <w:szCs w:val="22"/>
        </w:rPr>
        <w:t xml:space="preserve">the official guidance lets the respondent break ties by picking whichever tied type "fits them best." For an automated product, pick one deterministic rule and document it — e.g., preserve RIASEC canonical order (R, I, A, S, E, C) as the tiebreaker — rather than leaving it to chance in sort order. Flag this choice for product sign-off; it can visibly change a student's code.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Presenting results: </w:t>
      </w:r>
      <w:r>
        <w:rPr>
          <w:rFonts w:ascii="Calibri" w:cs="Calibri" w:eastAsia="Calibri" w:hAnsi="Calibri"/>
          <w:sz w:val="22"/>
          <w:szCs w:val="22"/>
        </w:rPr>
        <w:t xml:space="preserve">Show the full 6-type profile (e.g., radar/bar chart, consistent with the dashboard's existing gauge/bar chart conventions), not just the 3-letter code. The code is a compact label; the underlying counts are what make the profile useful for major/career matching. O*NET does not publish population percentile norms for this short form, so do not present scores as percentiles.</w:t>
      </w:r>
    </w:p>
    <w:p>
      <w:pPr>
        <w:pStyle w:val="Heading1"/>
        <w:spacing w:after="160" w:before="360"/>
      </w:pPr>
      <w:r>
        <w:t xml:space="preserve">5. Suggested Data Model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Fits the existing dashboard data-structure conventions and mirrors the IPIP-50 assessment model: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7E6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interest_assessment: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id: "assess_002",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student_id: "...",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instrument: "ONET-IP-SF",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instrument_version: "1.0",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started_at: "2026-08-25T09:00:00Z",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completed_at: "2026-08-25T09:11:00Z",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responses: { "R1": 1, "R2": 0, /* ...60 entries... */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scores: { R: 3, I: 7, A: 8, S: 6, E: 2, C: 4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ranking: ["A", "I", "S", "C", "R", "E"],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hollandCode: "AIS"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 w:before="200"/>
      </w:pPr>
      <w:r>
        <w:rPr>
          <w:rFonts w:ascii="Calibri" w:cs="Calibri" w:eastAsia="Calibri" w:hAnsi="Calibri"/>
          <w:sz w:val="22"/>
          <w:szCs w:val="22"/>
        </w:rPr>
        <w:t xml:space="preserve">Suggested SQL tables (mirrors </w:t>
      </w:r>
      <w:r>
        <w:rPr>
          <w:rFonts w:ascii="Consolas" w:cs="Consolas" w:eastAsia="Consolas" w:hAnsi="Consolas"/>
          <w:sz w:val="20"/>
          <w:szCs w:val="20"/>
        </w:rPr>
        <w:t xml:space="preserve">personality_assessments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personality_responses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personality_scores</w:t>
      </w:r>
      <w:r>
        <w:rPr>
          <w:rFonts w:ascii="Calibri" w:cs="Calibri" w:eastAsia="Calibri" w:hAnsi="Calibri"/>
          <w:sz w:val="22"/>
          <w:szCs w:val="22"/>
        </w:rPr>
        <w:t xml:space="preserve"> from the IPIP-50 spec):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7E6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interest_assessments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id, student_id, instrument, instrument_version,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started_at, completed_at, holland_code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interest_responses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id, assessment_id, item_id, response_value  -- 0 or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interest_scores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id, assessment_id, type_code, raw_score, rank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6. Product / Compliance Notes for Implementation</w:t>
      </w:r>
    </w:p>
    <w:p>
      <w:pPr>
        <w:pStyle w:val="ListParagraph"/>
        <w:pStyle w:val="normalPara"/>
        <w:numPr>
          <w:ilvl w:val="0"/>
          <w:numId w:val="1"/>
        </w:numPr>
        <w:spacing w:after="100"/>
      </w:pPr>
      <w:r>
        <w:t xml:space="preserve">Not a clinical or predictive tool. Show a short disclaimer on the intro and results screens: this is a self-insight tool for exploring interests, not a guarantee of career fit or academic outcome, and results should not be presented to universities as a formal credential.</w:t>
      </w:r>
    </w:p>
    <w:p>
      <w:pPr>
        <w:pStyle w:val="ListParagraph"/>
        <w:pStyle w:val="normalPara"/>
        <w:numPr>
          <w:ilvl w:val="0"/>
          <w:numId w:val="1"/>
        </w:numPr>
        <w:spacing w:after="100"/>
      </w:pPr>
      <w:r>
        <w:t xml:space="preserve">Pair with major/career data. RIASEC's main product value is mapping a Holland Code to fields of study and careers. O*NET's occupation database links each occupation to a Holland Code profile (see IPSF_Linking.pdf on onetcenter.org) — worth reusing for a "careers that match your code" results panel rather than inventing a separate mapping.</w:t>
      </w:r>
    </w:p>
    <w:p>
      <w:pPr>
        <w:pStyle w:val="ListParagraph"/>
        <w:pStyle w:val="normalPara"/>
        <w:numPr>
          <w:ilvl w:val="0"/>
          <w:numId w:val="1"/>
        </w:numPr>
        <w:spacing w:after="100"/>
      </w:pPr>
      <w:r>
        <w:t xml:space="preserve">Data sensitivity. Treat interest-assessment responses under the same privacy controls as the IPIP-50 data (encryption at rest, included in the student's data export/deletion rights, not used for ad targeting).</w:t>
      </w:r>
    </w:p>
    <w:p>
      <w:pPr>
        <w:pStyle w:val="ListParagraph"/>
        <w:pStyle w:val="normalPara"/>
        <w:numPr>
          <w:ilvl w:val="0"/>
          <w:numId w:val="1"/>
        </w:numPr>
        <w:spacing w:after="100"/>
      </w:pPr>
      <w:r>
        <w:t xml:space="preserve">Under-13 users / COPPA. Same gating as the rest of onboarding and the IPIP-50 assessment.</w:t>
      </w:r>
    </w:p>
    <w:p>
      <w:pPr>
        <w:pStyle w:val="ListParagraph"/>
        <w:pStyle w:val="normalPara"/>
        <w:numPr>
          <w:ilvl w:val="0"/>
          <w:numId w:val="1"/>
        </w:numPr>
        <w:spacing w:after="100"/>
      </w:pPr>
      <w:r>
        <w:t xml:space="preserve">Re-takes. Store every completed attempt (append-only) rather than overwriting, so interest shifts over time (grade 9 → grade 12) can show on the trend view.</w:t>
      </w:r>
    </w:p>
    <w:p>
      <w:pPr>
        <w:pStyle w:val="ListParagraph"/>
        <w:pStyle w:val="normalPara"/>
        <w:numPr>
          <w:ilvl w:val="0"/>
          <w:numId w:val="1"/>
        </w:numPr>
        <w:spacing w:after="100"/>
      </w:pPr>
      <w:r>
        <w:t xml:space="preserve">Localization. If translated, re-validate item wording against a published translated O*NET or Holland-based form rather than machine-translating ad hoc — several items (e.g., "Perform jazz or tap dance", idioms like "day-care center") are culturally specific and may need adaptation, not just translation.</w:t>
      </w:r>
    </w:p>
    <w:p>
      <w:pPr>
        <w:pStyle w:val="ListParagraph"/>
        <w:pStyle w:val="normalPara"/>
        <w:numPr>
          <w:ilvl w:val="0"/>
          <w:numId w:val="1"/>
        </w:numPr>
        <w:spacing w:after="100"/>
      </w:pPr>
      <w:r>
        <w:t xml:space="preserve">Licensing (see Section 7 — do not skip). Unlike the IPIP-50, this item set is not public domain. Confirm the license choice and add the required credit line before this ships.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Attribution &amp; Licensing (Required — Read Before Shipping)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O*NET Interest Profiler Short Form is offered free of charge for commercial and non-commercial use under the O*NET Career Exploration Tools Content License, but it is not public domain and requires a choice between two license tracks:</w:t>
      </w:r>
    </w:p>
    <w:p>
      <w:pPr>
        <w:pStyle w:val="Heading2"/>
        <w:spacing w:after="120" w:before="280"/>
      </w:pPr>
      <w:r>
        <w:t xml:space="preserve">Option A — CC BY-ND 4.0 (use items unmodified)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Use this if the 60 item statements and scoring method ship exactly as published (UI styling can differ, but wording/scoring can't change). Required credit, displayed near the assessment (e.g., results page footer or an "About this assessment" panel):</w:t>
      </w:r>
    </w:p>
    <w:p>
      <w:pPr>
        <w:pBdr>
          <w:left w:val="single" w:color="8DA3C4" w:sz="12" w:space="8"/>
        </w:pBdr>
        <w:spacing w:after="200" w:before="100"/>
        <w:ind w:left="480"/>
      </w:pPr>
      <w:r>
        <w:rPr>
          <w:rFonts w:ascii="Calibri" w:cs="Calibri" w:eastAsia="Calibri" w:hAnsi="Calibri"/>
          <w:i/>
          <w:iCs/>
          <w:color w:val="44546A"/>
          <w:sz w:val="22"/>
          <w:szCs w:val="22"/>
        </w:rPr>
        <w:t xml:space="preserve">This assessment uses the O*NET Interest Profiler Short Form, sponsored by the U.S. Department of Labor, Employment and Training Administration. Used under CC BY-ND 4.0 — creativecommons.org/licenses/by-nd/4.0.</w:t>
      </w:r>
    </w:p>
    <w:p>
      <w:pPr>
        <w:pStyle w:val="Heading2"/>
        <w:spacing w:after="120" w:before="280"/>
      </w:pPr>
      <w:r>
        <w:t xml:space="preserve">Option B — O*NET Tools Developer License (if you modify/extend)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Required if item wording is edited, items are added/removed, translated, or the checklist is converted to a different response scale (e.g., a 5-point Likert) — i.e., most real product integrations. Required credit plus a modification disclosure:</w:t>
      </w:r>
    </w:p>
    <w:p>
      <w:pPr>
        <w:pBdr>
          <w:left w:val="single" w:color="8DA3C4" w:sz="12" w:space="8"/>
        </w:pBdr>
        <w:spacing w:after="200" w:before="100"/>
        <w:ind w:left="480"/>
      </w:pPr>
      <w:r>
        <w:rPr>
          <w:rFonts w:ascii="Calibri" w:cs="Calibri" w:eastAsia="Calibri" w:hAnsi="Calibri"/>
          <w:i/>
          <w:iCs/>
          <w:color w:val="44546A"/>
          <w:sz w:val="22"/>
          <w:szCs w:val="22"/>
        </w:rPr>
        <w:t xml:space="preserve">This assessment is based on the O*NET Interest Profiler Short Form, sponsored by the U.S. Department of Labor, Employment and Training Administration. MyEduPort.ai has modified all or some of this information. USDOL/ETA has not approved, endorsed, or tested these modifications.</w:t>
      </w:r>
    </w:p>
    <w:p>
      <w:pPr>
        <w:spacing w:after="160" w:before="160"/>
      </w:pPr>
      <w:r>
        <w:rPr>
          <w:rFonts w:ascii="Calibri" w:cs="Calibri" w:eastAsia="Calibri" w:hAnsi="Calibri"/>
          <w:sz w:val="22"/>
          <w:szCs w:val="22"/>
        </w:rPr>
        <w:t xml:space="preserve">Both options additionally require: using "O*NET" only as an adjective (never as a noun/verb), displaying the ® symbol on first reference, and not implying USDOL/ETA endorsement of MyEduPort. Registration with O*NET Resource Center is optional but requested.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Recommendation: </w:t>
      </w:r>
      <w:r>
        <w:rPr>
          <w:rFonts w:ascii="Calibri" w:cs="Calibri" w:eastAsia="Calibri" w:hAnsi="Calibri"/>
          <w:sz w:val="22"/>
          <w:szCs w:val="22"/>
        </w:rPr>
        <w:t xml:space="preserve">since Section 2 already proposes shuffled item order and a digital UI as options, and future localization is likely, default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Option B</w:t>
      </w:r>
      <w:r>
        <w:rPr>
          <w:rFonts w:ascii="Calibri" w:cs="Calibri" w:eastAsia="Calibri" w:hAnsi="Calibri"/>
          <w:sz w:val="22"/>
          <w:szCs w:val="22"/>
        </w:rPr>
        <w:t xml:space="preserve"> and validate that assumption with legal/product before launch.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terms: </w:t>
      </w:r>
      <w:hyperlink w:history="1" r:id="rIdpfvivfr7yli9knpb7icyq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onetcenter.org/license_tools.html</w:t>
        </w:r>
      </w:hyperlink>
      <w:r>
        <w:rPr>
          <w:rFonts w:ascii="Calibri" w:cs="Calibri" w:eastAsia="Calibri" w:hAnsi="Calibri"/>
          <w:sz w:val="22"/>
          <w:szCs w:val="22"/>
        </w:rPr>
        <w:t xml:space="preserve"> · </w:t>
      </w:r>
      <w:hyperlink w:history="1" r:id="rIdwghyxi0buvlscmt189y6m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onetcenter.org/license_toolsdev.html</w:t>
        </w:r>
      </w:hyperlink>
    </w:p>
    <w:p>
      <w:pPr>
        <w:pBdr>
          <w:top w:val="single" w:color="AAAAAA" w:sz="6" w:space="8"/>
        </w:pBdr>
        <w:spacing w:before="3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Prepared for the MyEduPort engineering team. Companion file: riasec_items.json (machine-readable items + type metadata). Sibling document: MyEduPort IPIP-50 Questionnaire Developer Spec.md.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aoib61brrxavmxs779gz" Type="http://schemas.openxmlformats.org/officeDocument/2006/relationships/hyperlink" Target="https://www.onetcenter.org/dl_files/IPSF_PP.pdf" TargetMode="External"/><Relationship Id="rIdpfvivfr7yli9knpb7icyq" Type="http://schemas.openxmlformats.org/officeDocument/2006/relationships/hyperlink" Target="https://www.onetcenter.org/license_tools.html" TargetMode="External"/><Relationship Id="rIdwghyxi0buvlscmt189y6m" Type="http://schemas.openxmlformats.org/officeDocument/2006/relationships/hyperlink" Target="https://www.onetcenter.org/license_toolsdev.html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2026-08-25T11:09:34.150Z</dcterms:created>
  <dcterms:modified xsi:type="dcterms:W3CDTF">2026-08-25T11:09:34.167Z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