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504F51">
      <w:pPr>
        <w:spacing w:after="400"/>
        <w:jc w:val="center"/>
      </w:pPr>
      <w:r>
        <w:rPr>
          <w:rFonts w:ascii="Noto Sans SC" w:hAnsi="Noto Sans SC" w:eastAsia="Noto Sans SC"/>
          <w:b/>
          <w:color w:val="155EEF"/>
          <w:sz w:val="19"/>
        </w:rPr>
        <w:t>AI PRODUCT MANAGER · INTERVIEW PLAYBOOK</w:t>
      </w:r>
    </w:p>
    <w:p w14:paraId="78F0B84F">
      <w:pPr>
        <w:spacing w:after="120"/>
        <w:jc w:val="center"/>
      </w:pPr>
      <w:r>
        <w:rPr>
          <w:rFonts w:ascii="Noto Sans SC" w:hAnsi="Noto Sans SC" w:eastAsia="Noto Sans SC"/>
          <w:b/>
          <w:color w:val="10151D"/>
          <w:sz w:val="54"/>
        </w:rPr>
        <w:t>MindSync 商业化项目</w:t>
      </w:r>
    </w:p>
    <w:p w14:paraId="2D71926C">
      <w:pPr>
        <w:spacing w:after="280"/>
        <w:jc w:val="center"/>
      </w:pPr>
      <w:r>
        <w:rPr>
          <w:rFonts w:ascii="Noto Sans SC" w:hAnsi="Noto Sans SC" w:eastAsia="Noto Sans SC"/>
          <w:b/>
          <w:color w:val="155EEF"/>
          <w:sz w:val="38"/>
        </w:rPr>
        <w:t>面试讲稿与复盘手册</w:t>
      </w:r>
    </w:p>
    <w:p w14:paraId="752E9500">
      <w:pPr>
        <w:spacing w:after="560"/>
        <w:jc w:val="center"/>
      </w:pPr>
      <w:r>
        <w:rPr>
          <w:rFonts w:ascii="Noto Sans SC" w:hAnsi="Noto Sans SC" w:eastAsia="Noto Sans SC"/>
          <w:b w:val="0"/>
          <w:color w:val="667385"/>
          <w:sz w:val="23"/>
        </w:rPr>
        <w:t>从多模型成本，到个人版／团队版定价、积分计费与商业化闭环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3600"/>
      </w:tblGrid>
      <w:tr w14:paraId="485CB1FC">
        <w:trPr>
          <w:tblHeader/>
          <w:jc w:val="center"/>
        </w:trPr>
        <w:tc>
          <w:tcPr>
            <w:tcW w:w="2880" w:type="dxa"/>
            <w:shd w:val="clear" w:color="auto" w:fill="10151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CBCA44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适用场景</w:t>
            </w:r>
          </w:p>
        </w:tc>
        <w:tc>
          <w:tcPr>
            <w:tcW w:w="2880" w:type="dxa"/>
            <w:shd w:val="clear" w:color="auto" w:fill="10151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5213BD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目标岗位</w:t>
            </w:r>
          </w:p>
        </w:tc>
        <w:tc>
          <w:tcPr>
            <w:tcW w:w="3600" w:type="dxa"/>
            <w:shd w:val="clear" w:color="auto" w:fill="10151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92C310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使用方式</w:t>
            </w:r>
          </w:p>
        </w:tc>
      </w:tr>
      <w:tr w14:paraId="3EF8AEFB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8AE941">
            <w:pPr>
              <w:spacing w:after="0" w:line="276" w:lineRule="auto"/>
            </w:pPr>
            <w:r>
              <w:rPr>
                <w:rFonts w:ascii="Noto Sans SC" w:hAnsi="Noto Sans SC" w:eastAsia="Noto Sans SC"/>
                <w:b/>
                <w:color w:val="155EEF"/>
                <w:sz w:val="17"/>
              </w:rPr>
              <w:t>秋招项目深挖／作品集讲解</w:t>
            </w:r>
          </w:p>
        </w:tc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6E8EFC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AI产品经理／产品运营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0A2321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先背主线，再理解逻辑，最后练追问</w:t>
            </w:r>
          </w:p>
        </w:tc>
      </w:tr>
    </w:tbl>
    <w:p w14:paraId="1139BE78">
      <w:pPr>
        <w:spacing w:after="520"/>
      </w:pP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831393D">
        <w:trPr>
          <w:jc w:val="center"/>
        </w:trPr>
        <w:tc>
          <w:tcPr>
            <w:tcW w:w="9360" w:type="dxa"/>
            <w:shd w:val="clear" w:color="auto" w:fill="F4F6F9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D4D4B44">
            <w:pPr>
              <w:spacing w:after="80"/>
            </w:pPr>
            <w:r>
              <w:rPr>
                <w:rFonts w:ascii="Noto Sans SC" w:hAnsi="Noto Sans SC" w:eastAsia="Noto Sans SC"/>
                <w:b/>
                <w:color w:val="155EEF"/>
                <w:sz w:val="18"/>
              </w:rPr>
              <w:t>使用提醒</w:t>
            </w:r>
          </w:p>
          <w:p w14:paraId="5772E5FE">
            <w:pPr>
              <w:spacing w:after="0" w:line="300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20"/>
              </w:rPr>
              <w:t>作品集中的价格、成本与毛利均为脱敏或模拟口径。面试时重点讲“如何判断、如何设计、如何验证”，不要把模拟数值说成真实上线结果。</w:t>
            </w:r>
          </w:p>
        </w:tc>
      </w:tr>
    </w:tbl>
    <w:p w14:paraId="62404FA6">
      <w:pPr>
        <w:spacing w:after="20"/>
      </w:pPr>
    </w:p>
    <w:p w14:paraId="014912C1">
      <w:pPr>
        <w:spacing w:after="160"/>
      </w:pPr>
      <w:r>
        <w:rPr>
          <w:rFonts w:ascii="Noto Sans SC" w:hAnsi="Noto Sans SC" w:eastAsia="Noto Sans SC"/>
          <w:b/>
          <w:color w:val="10151D"/>
          <w:sz w:val="22"/>
        </w:rPr>
        <w:t>建议练习顺序</w:t>
      </w:r>
    </w:p>
    <w:p w14:paraId="78C4A34E">
      <w:pPr>
        <w:pStyle w:val="14"/>
        <w:spacing w:after="60"/>
      </w:pPr>
      <w:r>
        <w:rPr>
          <w:rFonts w:ascii="Noto Sans SC" w:hAnsi="Noto Sans SC" w:eastAsia="Noto Sans SC"/>
          <w:b w:val="0"/>
        </w:rPr>
        <w:t>第一遍：只读“5分钟完整讲稿”，形成项目故事。</w:t>
      </w:r>
    </w:p>
    <w:p w14:paraId="7C7B2EB9">
      <w:pPr>
        <w:pStyle w:val="14"/>
        <w:spacing w:after="60"/>
      </w:pPr>
      <w:r>
        <w:rPr>
          <w:rFonts w:ascii="Noto Sans SC" w:hAnsi="Noto Sans SC" w:eastAsia="Noto Sans SC"/>
          <w:b w:val="0"/>
        </w:rPr>
        <w:t>第二遍：结合每个板块的“大白话解释”，理解为什么这样设计。</w:t>
      </w:r>
    </w:p>
    <w:p w14:paraId="52EE4F13">
      <w:pPr>
        <w:pStyle w:val="14"/>
        <w:spacing w:after="60"/>
      </w:pPr>
      <w:r>
        <w:rPr>
          <w:rFonts w:ascii="Noto Sans SC" w:hAnsi="Noto Sans SC" w:eastAsia="Noto Sans SC"/>
          <w:b w:val="0"/>
        </w:rPr>
        <w:t>第三遍：遮住答案，独立回答文末高频追问。</w:t>
      </w:r>
    </w:p>
    <w:p w14:paraId="32101210">
      <w:pPr>
        <w:pStyle w:val="14"/>
        <w:spacing w:after="60"/>
      </w:pPr>
      <w:r>
        <w:rPr>
          <w:rFonts w:ascii="Noto Sans SC" w:hAnsi="Noto Sans SC" w:eastAsia="Noto Sans SC"/>
          <w:b w:val="0"/>
        </w:rPr>
        <w:t>第四遍：压缩成90秒版本，用于面试官时间有限的场景。</w:t>
      </w:r>
    </w:p>
    <w:p w14:paraId="3D77C738">
      <w:r>
        <w:br w:type="page"/>
      </w:r>
    </w:p>
    <w:p w14:paraId="70BB3C8A">
      <w:pPr>
        <w:pStyle w:val="3"/>
      </w:pPr>
      <w:r>
        <w:t>一、先记住整条项目逻辑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8792B9A">
        <w:trPr>
          <w:jc w:val="center"/>
        </w:trPr>
        <w:tc>
          <w:tcPr>
            <w:tcW w:w="9360" w:type="dxa"/>
            <w:shd w:val="clear" w:color="auto" w:fill="EEF4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744FA65">
            <w:pPr>
              <w:spacing w:after="80"/>
            </w:pPr>
            <w:r>
              <w:rPr>
                <w:rFonts w:ascii="Noto Sans SC" w:hAnsi="Noto Sans SC" w:eastAsia="Noto Sans SC"/>
                <w:b/>
                <w:color w:val="155EEF"/>
                <w:sz w:val="18"/>
              </w:rPr>
              <w:t>一句话项目定义</w:t>
            </w:r>
          </w:p>
          <w:p w14:paraId="7C18E0B4">
            <w:pPr>
              <w:spacing w:after="0" w:line="300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20"/>
              </w:rPr>
              <w:t>我负责将 MindSync 的多模型生成能力，从“内部可使用的工具”升级为“对外可售卖的产品”，核心工作是建立个人版与团队版商品、统一积分定价、支付与任务结算规则，并设计上线后的验证指标。</w:t>
            </w:r>
          </w:p>
        </w:tc>
      </w:tr>
    </w:tbl>
    <w:p w14:paraId="02E41231">
      <w:pPr>
        <w:spacing w:after="20"/>
      </w:pPr>
    </w:p>
    <w:p w14:paraId="04A11A6E">
      <w:pPr>
        <w:pStyle w:val="4"/>
      </w:pPr>
      <w:r>
        <w:t>1. 面试官真正想听什么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240"/>
        <w:gridCol w:w="4320"/>
      </w:tblGrid>
      <w:tr w14:paraId="347929B9">
        <w:trPr>
          <w:tblHeader/>
          <w:jc w:val="center"/>
        </w:trPr>
        <w:tc>
          <w:tcPr>
            <w:tcW w:w="1800" w:type="dxa"/>
            <w:shd w:val="clear" w:color="auto" w:fill="10151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03D729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面试官关注点</w:t>
            </w:r>
          </w:p>
        </w:tc>
        <w:tc>
          <w:tcPr>
            <w:tcW w:w="3240" w:type="dxa"/>
            <w:shd w:val="clear" w:color="auto" w:fill="10151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453EB8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你要证明的能力</w:t>
            </w:r>
          </w:p>
        </w:tc>
        <w:tc>
          <w:tcPr>
            <w:tcW w:w="4320" w:type="dxa"/>
            <w:shd w:val="clear" w:color="auto" w:fill="10151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3C70CB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本项目对应证据</w:t>
            </w:r>
          </w:p>
        </w:tc>
      </w:tr>
      <w:tr w14:paraId="6A32783F"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B29C61">
            <w:pPr>
              <w:spacing w:after="0" w:line="276" w:lineRule="auto"/>
            </w:pPr>
            <w:r>
              <w:rPr>
                <w:rFonts w:ascii="Noto Sans SC" w:hAnsi="Noto Sans SC" w:eastAsia="Noto Sans SC"/>
                <w:b/>
                <w:color w:val="155EEF"/>
                <w:sz w:val="17"/>
              </w:rPr>
              <w:t>业务理解</w:t>
            </w:r>
          </w:p>
        </w:tc>
        <w:tc>
          <w:tcPr>
            <w:tcW w:w="32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6AAADD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理解用户为什么付费，而不只是堆功能</w:t>
            </w:r>
          </w:p>
        </w:tc>
        <w:tc>
          <w:tcPr>
            <w:tcW w:w="43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6D42FB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把“模型调用”翻译为“可预期内容产能”</w:t>
            </w:r>
          </w:p>
        </w:tc>
      </w:tr>
      <w:tr w14:paraId="68EDF651">
        <w:trPr>
          <w:jc w:val="center"/>
        </w:trPr>
        <w:tc>
          <w:tcPr>
            <w:tcW w:w="1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29E76C">
            <w:pPr>
              <w:spacing w:after="0" w:line="276" w:lineRule="auto"/>
            </w:pPr>
            <w:r>
              <w:rPr>
                <w:rFonts w:ascii="Noto Sans SC" w:hAnsi="Noto Sans SC" w:eastAsia="Noto Sans SC"/>
                <w:b/>
                <w:color w:val="155EEF"/>
                <w:sz w:val="17"/>
              </w:rPr>
              <w:t>产品抽象</w:t>
            </w:r>
          </w:p>
        </w:tc>
        <w:tc>
          <w:tcPr>
            <w:tcW w:w="324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89A7F6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把复杂底层规则变成简单用户语言</w:t>
            </w:r>
          </w:p>
        </w:tc>
        <w:tc>
          <w:tcPr>
            <w:tcW w:w="432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F95636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不同模型统一为积分，前台展示可生成量</w:t>
            </w:r>
          </w:p>
        </w:tc>
      </w:tr>
      <w:tr w14:paraId="7D66DD15"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5734A2">
            <w:pPr>
              <w:spacing w:after="0" w:line="276" w:lineRule="auto"/>
            </w:pPr>
            <w:r>
              <w:rPr>
                <w:rFonts w:ascii="Noto Sans SC" w:hAnsi="Noto Sans SC" w:eastAsia="Noto Sans SC"/>
                <w:b/>
                <w:color w:val="155EEF"/>
                <w:sz w:val="17"/>
              </w:rPr>
              <w:t>商业化能力</w:t>
            </w:r>
          </w:p>
        </w:tc>
        <w:tc>
          <w:tcPr>
            <w:tcW w:w="32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4B8547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能做商品、价格、权益与转化设计</w:t>
            </w:r>
          </w:p>
        </w:tc>
        <w:tc>
          <w:tcPr>
            <w:tcW w:w="43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773279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个人订阅、团队年付、积分包、企业报价</w:t>
            </w:r>
          </w:p>
        </w:tc>
      </w:tr>
      <w:tr w14:paraId="77170F53">
        <w:trPr>
          <w:jc w:val="center"/>
        </w:trPr>
        <w:tc>
          <w:tcPr>
            <w:tcW w:w="1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99414A">
            <w:pPr>
              <w:spacing w:after="0" w:line="276" w:lineRule="auto"/>
            </w:pPr>
            <w:r>
              <w:rPr>
                <w:rFonts w:ascii="Noto Sans SC" w:hAnsi="Noto Sans SC" w:eastAsia="Noto Sans SC"/>
                <w:b/>
                <w:color w:val="155EEF"/>
                <w:sz w:val="17"/>
              </w:rPr>
              <w:t>系统设计</w:t>
            </w:r>
          </w:p>
        </w:tc>
        <w:tc>
          <w:tcPr>
            <w:tcW w:w="324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582685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能覆盖正常链路与异常边界</w:t>
            </w:r>
          </w:p>
        </w:tc>
        <w:tc>
          <w:tcPr>
            <w:tcW w:w="432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689711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试算、预扣、成功结算、失败退回、账单追溯</w:t>
            </w:r>
          </w:p>
        </w:tc>
      </w:tr>
      <w:tr w14:paraId="0ECB2584"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5E9178">
            <w:pPr>
              <w:spacing w:after="0" w:line="276" w:lineRule="auto"/>
            </w:pPr>
            <w:r>
              <w:rPr>
                <w:rFonts w:ascii="Noto Sans SC" w:hAnsi="Noto Sans SC" w:eastAsia="Noto Sans SC"/>
                <w:b/>
                <w:color w:val="155EEF"/>
                <w:sz w:val="17"/>
              </w:rPr>
              <w:t>数据意识</w:t>
            </w:r>
          </w:p>
        </w:tc>
        <w:tc>
          <w:tcPr>
            <w:tcW w:w="32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DA8660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知道上线后如何判断方案成立</w:t>
            </w:r>
          </w:p>
        </w:tc>
        <w:tc>
          <w:tcPr>
            <w:tcW w:w="43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56D31C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曝光—点击—发起支付—支付成功—复购漏斗</w:t>
            </w:r>
          </w:p>
        </w:tc>
      </w:tr>
      <w:tr w14:paraId="031DE03B">
        <w:trPr>
          <w:jc w:val="center"/>
        </w:trPr>
        <w:tc>
          <w:tcPr>
            <w:tcW w:w="1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63CFC6">
            <w:pPr>
              <w:spacing w:after="0" w:line="276" w:lineRule="auto"/>
            </w:pPr>
            <w:r>
              <w:rPr>
                <w:rFonts w:ascii="Noto Sans SC" w:hAnsi="Noto Sans SC" w:eastAsia="Noto Sans SC"/>
                <w:b/>
                <w:color w:val="155EEF"/>
                <w:sz w:val="17"/>
              </w:rPr>
              <w:t>协同推进</w:t>
            </w:r>
          </w:p>
        </w:tc>
        <w:tc>
          <w:tcPr>
            <w:tcW w:w="324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898D05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能把方案交给研发、运营、销售执行</w:t>
            </w:r>
          </w:p>
        </w:tc>
        <w:tc>
          <w:tcPr>
            <w:tcW w:w="432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1DE1ED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PRD、原型、计费表、FAQ与后台配置规则</w:t>
            </w:r>
          </w:p>
        </w:tc>
      </w:tr>
    </w:tbl>
    <w:p w14:paraId="624FCBB0">
      <w:pPr>
        <w:pStyle w:val="4"/>
      </w:pPr>
      <w:r>
        <w:t>2. 项目叙事主线</w:t>
      </w:r>
    </w:p>
    <w:p w14:paraId="0CBAA651">
      <w:pPr>
        <w:pStyle w:val="14"/>
        <w:spacing w:after="80"/>
      </w:pPr>
      <w:r>
        <w:rPr>
          <w:rFonts w:ascii="Noto Sans SC" w:hAnsi="Noto Sans SC" w:eastAsia="Noto Sans SC"/>
          <w:b w:val="0"/>
        </w:rPr>
        <w:t>背景：平台具备生成能力，但缺少标准商品、计费和支付闭环。</w:t>
      </w:r>
    </w:p>
    <w:p w14:paraId="68EE4119">
      <w:pPr>
        <w:pStyle w:val="14"/>
        <w:spacing w:after="80"/>
      </w:pPr>
      <w:r>
        <w:rPr>
          <w:rFonts w:ascii="Noto Sans SC" w:hAnsi="Noto Sans SC" w:eastAsia="Noto Sans SC"/>
          <w:b w:val="0"/>
        </w:rPr>
        <w:t>问题：底层模型按秒、张、Token、调用次数收费，用户无法直接理解。</w:t>
      </w:r>
    </w:p>
    <w:p w14:paraId="1DDAFB06">
      <w:pPr>
        <w:pStyle w:val="14"/>
        <w:spacing w:after="80"/>
      </w:pPr>
      <w:r>
        <w:rPr>
          <w:rFonts w:ascii="Noto Sans SC" w:hAnsi="Noto Sans SC" w:eastAsia="Noto Sans SC"/>
          <w:b w:val="0"/>
        </w:rPr>
        <w:t>研究：调研国内外近20个平台，统一比较价格、积分、可生成量、席位、并发、存储和企业服务。</w:t>
      </w:r>
    </w:p>
    <w:p w14:paraId="4524B3D3">
      <w:pPr>
        <w:pStyle w:val="14"/>
        <w:spacing w:after="80"/>
      </w:pPr>
      <w:r>
        <w:rPr>
          <w:rFonts w:ascii="Noto Sans SC" w:hAnsi="Noto Sans SC" w:eastAsia="Noto Sans SC"/>
          <w:b w:val="0"/>
        </w:rPr>
        <w:t>判断：用户购买的不是模型调用，而是可预期的内容生产能力。</w:t>
      </w:r>
    </w:p>
    <w:p w14:paraId="51DA2E33">
      <w:pPr>
        <w:pStyle w:val="14"/>
        <w:spacing w:after="80"/>
      </w:pPr>
      <w:r>
        <w:rPr>
          <w:rFonts w:ascii="Noto Sans SC" w:hAnsi="Noto Sans SC" w:eastAsia="Noto Sans SC"/>
          <w:b w:val="0"/>
        </w:rPr>
        <w:t>方案：建立个人版、团队版、积分补充包和企业定制报价，并用积分统一模型成本。</w:t>
      </w:r>
    </w:p>
    <w:p w14:paraId="7BFD8105">
      <w:pPr>
        <w:pStyle w:val="14"/>
        <w:spacing w:after="80"/>
      </w:pPr>
      <w:r>
        <w:rPr>
          <w:rFonts w:ascii="Noto Sans SC" w:hAnsi="Noto Sans SC" w:eastAsia="Noto Sans SC"/>
          <w:b w:val="0"/>
        </w:rPr>
        <w:t>落地：打通付费墙、支付、积分到账、任务预扣、成功结算、失败退款和账单查询。</w:t>
      </w:r>
    </w:p>
    <w:p w14:paraId="1F49FE02">
      <w:pPr>
        <w:pStyle w:val="14"/>
        <w:spacing w:after="80"/>
      </w:pPr>
      <w:r>
        <w:rPr>
          <w:rFonts w:ascii="Noto Sans SC" w:hAnsi="Noto Sans SC" w:eastAsia="Noto Sans SC"/>
          <w:b w:val="0"/>
        </w:rPr>
        <w:t>验证：用付费漏斗、套餐偏好、积分耗尽天数、复购与升级率持续校准。</w:t>
      </w:r>
    </w:p>
    <w:p w14:paraId="2F984499">
      <w:r>
        <w:br w:type="page"/>
      </w:r>
    </w:p>
    <w:p w14:paraId="48E3D6D4">
      <w:pPr>
        <w:pStyle w:val="3"/>
      </w:pPr>
      <w:r>
        <w:t>二、5分钟完整面试讲稿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F807553">
        <w:trPr>
          <w:jc w:val="center"/>
        </w:trPr>
        <w:tc>
          <w:tcPr>
            <w:tcW w:w="9360" w:type="dxa"/>
            <w:shd w:val="clear" w:color="auto" w:fill="EEF4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5346BBD">
            <w:pPr>
              <w:spacing w:after="80"/>
            </w:pPr>
            <w:r>
              <w:rPr>
                <w:rFonts w:ascii="Noto Sans SC" w:hAnsi="Noto Sans SC" w:eastAsia="Noto Sans SC"/>
                <w:b/>
                <w:color w:val="155EEF"/>
                <w:sz w:val="18"/>
              </w:rPr>
              <w:t>开场原则</w:t>
            </w:r>
          </w:p>
          <w:p w14:paraId="130B9101">
            <w:pPr>
              <w:spacing w:after="0" w:line="300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20"/>
              </w:rPr>
              <w:t>按“背景—难点—行动—方案—验证—复盘”讲，不要从页面功能列表开始。以下稿件可直接练习，但面试时要自然表达，不建议逐字背诵。</w:t>
            </w:r>
          </w:p>
        </w:tc>
      </w:tr>
    </w:tbl>
    <w:p w14:paraId="0F611F01">
      <w:pPr>
        <w:spacing w:after="20"/>
      </w:pPr>
    </w:p>
    <w:p w14:paraId="12487AC9">
      <w:pPr>
        <w:pStyle w:val="4"/>
      </w:pPr>
      <w:r>
        <w:t>0:00—0:35｜项目背景</w:t>
      </w:r>
    </w:p>
    <w:p w14:paraId="76CE677E">
      <w:pPr>
        <w:spacing w:after="140"/>
      </w:pPr>
      <w:r>
        <w:rPr>
          <w:rFonts w:ascii="Noto Sans SC" w:hAnsi="Noto Sans SC" w:eastAsia="Noto Sans SC"/>
          <w:b w:val="0"/>
        </w:rPr>
        <w:t>我想重点介绍一个我实际参与的 AI 产品商业化项目。MindSync 是面向电商内容生产的生成式平台，覆盖图片、视频、爆款复刻等能力。项目启动时，平台已经具备模型调用和内容生成能力，但还不能被标准化售卖：没有清晰的个人版与团队版商品，没有统一的计费语言，也缺少从购买、积分到账到任务结算的完整链路。我的核心任务，是从零搭建一套能够被用户理解、被销售解释、被运营配置、被研发实现的商业化方案。</w:t>
      </w:r>
    </w:p>
    <w:p w14:paraId="79492CAB">
      <w:pPr>
        <w:pStyle w:val="4"/>
      </w:pPr>
      <w:r>
        <w:t>0:35—1:15｜核心难点</w:t>
      </w:r>
    </w:p>
    <w:p w14:paraId="1F4E1DAA">
      <w:pPr>
        <w:spacing w:after="140"/>
      </w:pPr>
      <w:r>
        <w:rPr>
          <w:rFonts w:ascii="Noto Sans SC" w:hAnsi="Noto Sans SC" w:eastAsia="Noto Sans SC"/>
          <w:b w:val="0"/>
        </w:rPr>
        <w:t>我识别到的核心难点不是“定一个价格”，而是三层问题。第一，底层模型成本异构，有的按 Token、有的按秒、有的按张或调用次数结算，不能直接暴露给用户。第二，模型价值并不只由成本决定，同一模型在清晰度、时长、有无参考素材等条件下，用户感知价值不同。第三，商业化不是一张报价墙，还需要处理支付状态、积分有效期、任务预扣、失败退回、升级和企业合同等完整规则。</w:t>
      </w:r>
    </w:p>
    <w:p w14:paraId="64E36C35">
      <w:pPr>
        <w:pStyle w:val="4"/>
      </w:pPr>
      <w:r>
        <w:t>1:15—2:00｜竞品研究</w:t>
      </w:r>
    </w:p>
    <w:p w14:paraId="04994F87">
      <w:pPr>
        <w:spacing w:after="140"/>
      </w:pPr>
      <w:r>
        <w:rPr>
          <w:rFonts w:ascii="Noto Sans SC" w:hAnsi="Noto Sans SC" w:eastAsia="Noto Sans SC"/>
          <w:b w:val="0"/>
        </w:rPr>
        <w:t>因此我先搭建统一竞品调研框架，调研了国内外近20个平台，包括即梦、可灵、Runway、HeyGen、CapCut、Pippit 等。我没有简单抄价格，而是把不同平台统一拆成九个维度：订阅价格、年付折扣、积分额度、可生成量、模型权限、并发、席位、存储、补充包和企业服务。调研后形成三个关键判断：生成平台普遍用积分降低多模型计费的认知负担；个人用户更关注可生成多少内容；团队客户除了用量，还会为席位、共享资产、并发和服务保障付费。</w:t>
      </w:r>
    </w:p>
    <w:p w14:paraId="0352E0F5">
      <w:pPr>
        <w:pStyle w:val="4"/>
      </w:pPr>
      <w:r>
        <w:t>2:00—3:15｜方案设计</w:t>
      </w:r>
    </w:p>
    <w:p w14:paraId="7FC9C78A">
      <w:pPr>
        <w:spacing w:after="140"/>
      </w:pPr>
      <w:r>
        <w:rPr>
          <w:rFonts w:ascii="Noto Sans SC" w:hAnsi="Noto Sans SC" w:eastAsia="Noto Sans SC"/>
          <w:b w:val="0"/>
        </w:rPr>
        <w:t>基于这些判断，我把方案拆成四类</w:t>
      </w:r>
      <w:bookmarkStart w:id="0" w:name="_GoBack"/>
      <w:bookmarkEnd w:id="0"/>
      <w:r>
        <w:rPr>
          <w:rFonts w:ascii="Noto Sans SC" w:hAnsi="Noto Sans SC" w:eastAsia="Noto Sans SC"/>
          <w:b w:val="0"/>
        </w:rPr>
        <w:t>商品。第一，个人版采用两档月度订阅，用积分、模型权限和并发拉开差异，减少选择成本。第二，团队版采用基础、专业、旗舰和企业四档年付商品，除积分外增加协同席位、统一资产、存储、并发和服务权益。第三，提供四档积分补充包，用于解决大促前或项目高峰期的临时用量，但只允许会员购买，避免用户完全绕开订阅。第四，企业版不强行标准化，保留销售询价和合同签约路径。定价上，我先把底层成本统一折算成成本指数，再叠加模型价值系数，向上取整为前台积分。用户看到的是每秒、每张或每次需要多少积分，以及套餐大约能完成多少内容；真实供应商成本和利润保护参数只放在后台。</w:t>
      </w:r>
    </w:p>
    <w:p w14:paraId="2EBD2CB4">
      <w:pPr>
        <w:pStyle w:val="4"/>
      </w:pPr>
      <w:r>
        <w:t>3:15—4:10｜计费与交易闭环</w:t>
      </w:r>
    </w:p>
    <w:p w14:paraId="2886833C">
      <w:pPr>
        <w:spacing w:after="140"/>
      </w:pPr>
      <w:r>
        <w:rPr>
          <w:rFonts w:ascii="Noto Sans SC" w:hAnsi="Noto Sans SC" w:eastAsia="Noto Sans SC"/>
          <w:b w:val="0"/>
        </w:rPr>
        <w:t>在交易和任务链路上，我设计了“试算—校验—预扣—执行—结算”的闭环。用户提交任务前，系统先根据模型、规格、时长和参考素材计算预计积分；余额足够后预扣，任务成功则正式结算，失败、取消或超时则原路退回，同时释放并发名额。支付成功以服务端回调为准，前端轮询订单状态并刷新会员身份和积分余额。每次积分变动都要记录来源、去向、有效期和关联任务，保证账务可追溯。</w:t>
      </w:r>
    </w:p>
    <w:p w14:paraId="4807F04A">
      <w:pPr>
        <w:pStyle w:val="4"/>
      </w:pPr>
      <w:r>
        <w:t>4:10—4:45｜上线验证</w:t>
      </w:r>
    </w:p>
    <w:p w14:paraId="1BFA0F4C">
      <w:pPr>
        <w:spacing w:after="140"/>
      </w:pPr>
      <w:r>
        <w:rPr>
          <w:rFonts w:ascii="Noto Sans SC" w:hAnsi="Noto Sans SC" w:eastAsia="Noto Sans SC"/>
          <w:b w:val="0"/>
        </w:rPr>
        <w:t>对于上线效果，我没有在作品集中虚构结果，而是提前定义验证框架。核心漏斗是付费墙曝光、商品点击、发起支付、支付成功和复购升级。首轮重点验证三件事：价格锚点是否提升支付转化；“积分数量”与“约可生成多少内容”哪种表达更容易被理解；不同付费触发原因——积分不足、模型权限和并发上限——是否应该采用不同升级引导。同时关注毛利区间、任务成功率、积分退款率、支付失败率和投诉率等护栏指标。</w:t>
      </w:r>
    </w:p>
    <w:p w14:paraId="3E47506E">
      <w:pPr>
        <w:pStyle w:val="4"/>
      </w:pPr>
      <w:r>
        <w:t>4:45—5:00｜总结复盘</w:t>
      </w:r>
    </w:p>
    <w:p w14:paraId="2752D3C9">
      <w:pPr>
        <w:spacing w:after="140"/>
      </w:pPr>
      <w:r>
        <w:rPr>
          <w:rFonts w:ascii="Noto Sans SC" w:hAnsi="Noto Sans SC" w:eastAsia="Noto Sans SC"/>
          <w:b w:val="0"/>
        </w:rPr>
        <w:t>这个项目让我形成了一个比较完整的 AI 商业化方法：先把异构模型成本统一，再把成本翻译成用户价值，通过商品分层承接不同人群，最后用交易、结算和数据验证形成闭环。我的核心贡献不是做一张漂亮的报价墙，而是把一个复杂的 AI 能力体系变成可售卖、可配置、可追溯和可迭代的产品。</w:t>
      </w:r>
    </w:p>
    <w:p w14:paraId="39561549">
      <w:r>
        <w:br w:type="page"/>
      </w:r>
    </w:p>
    <w:p w14:paraId="010F8A34">
      <w:pPr>
        <w:pStyle w:val="3"/>
      </w:pPr>
      <w:r>
        <w:t>三、90秒压缩版讲稿</w:t>
      </w:r>
    </w:p>
    <w:p w14:paraId="41ACC9B5">
      <w:pPr>
        <w:spacing w:after="160"/>
      </w:pPr>
      <w:r>
        <w:rPr>
          <w:rFonts w:ascii="Noto Sans SC" w:hAnsi="Noto Sans SC" w:eastAsia="Noto Sans SC"/>
          <w:b w:val="0"/>
        </w:rPr>
        <w:t>我负责过 MindSync 生成式电商平台的商业化设计。项目当时已经具备图片、视频和爆款复刻能力，但底层模型分别按 Token、秒、张或调用次数计费，既无法直接向用户解释，也缺少订阅、支付、积分和任务结算闭环。</w:t>
      </w:r>
    </w:p>
    <w:p w14:paraId="78CD8310">
      <w:pPr>
        <w:spacing w:after="160"/>
      </w:pPr>
      <w:r>
        <w:rPr>
          <w:rFonts w:ascii="Noto Sans SC" w:hAnsi="Noto Sans SC" w:eastAsia="Noto Sans SC"/>
          <w:b w:val="0"/>
        </w:rPr>
        <w:t>我先调研了国内外近20个平台，统一比较订阅、积分、可生成量、模型权限、并发、席位、存储和企业服务。研究后我判断：个人用户购买的是可预期的内容产能，团队客户除了用量，还会为协作、资产和服务保障付费。</w:t>
      </w:r>
    </w:p>
    <w:p w14:paraId="4012659E">
      <w:pPr>
        <w:spacing w:after="160"/>
      </w:pPr>
      <w:r>
        <w:rPr>
          <w:rFonts w:ascii="Noto Sans SC" w:hAnsi="Noto Sans SC" w:eastAsia="Noto Sans SC"/>
          <w:b w:val="0"/>
        </w:rPr>
        <w:t>因此我设计了个人两档订阅、团队四档年付、会员积分补充包和企业询价四类商品；定价上把异构模型成本折算为统一积分，再叠加价值系数，前台展示每秒、每张或每次积分及约可生成量，后台保留真实成本和利润参数。任务侧采用试算、预扣、成功结算、失败退回的账务链路。</w:t>
      </w:r>
    </w:p>
    <w:p w14:paraId="5D14FA90">
      <w:pPr>
        <w:spacing w:after="120"/>
      </w:pPr>
      <w:r>
        <w:rPr>
          <w:rFonts w:ascii="Noto Sans SC" w:hAnsi="Noto Sans SC" w:eastAsia="Noto Sans SC"/>
          <w:b w:val="0"/>
        </w:rPr>
        <w:t>上线后用付费墙曝光到复购升级的漏斗验证，并结合毛利、任务成功率、退款率和投诉率做护栏。这个项目体现了我把 AI 模型能力转化为可售卖商品、计费规则和数据闭环的能力。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0F66480">
        <w:trPr>
          <w:jc w:val="center"/>
        </w:trPr>
        <w:tc>
          <w:tcPr>
            <w:tcW w:w="9360" w:type="dxa"/>
            <w:shd w:val="clear" w:color="auto" w:fill="F4F6F9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2FF52760">
            <w:pPr>
              <w:spacing w:after="80"/>
            </w:pPr>
            <w:r>
              <w:rPr>
                <w:rFonts w:ascii="Noto Sans SC" w:hAnsi="Noto Sans SC" w:eastAsia="Noto Sans SC"/>
                <w:b/>
                <w:color w:val="155EEF"/>
                <w:sz w:val="18"/>
              </w:rPr>
              <w:t>什么时候用90秒版本</w:t>
            </w:r>
          </w:p>
          <w:p w14:paraId="5015EA5D">
            <w:pPr>
              <w:spacing w:after="0" w:line="300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20"/>
              </w:rPr>
              <w:t>面试官只说“简单介绍一个项目”、群面时间紧、或第一轮HR面不希望听太深时使用。讲完后停住，让面试官选择继续追问定价、积分或团队版。</w:t>
            </w:r>
          </w:p>
        </w:tc>
      </w:tr>
    </w:tbl>
    <w:p w14:paraId="7D021ADB">
      <w:pPr>
        <w:spacing w:after="20"/>
      </w:pPr>
    </w:p>
    <w:p w14:paraId="0687D67A">
      <w:r>
        <w:br w:type="page"/>
      </w:r>
    </w:p>
    <w:p w14:paraId="46C5976B">
      <w:pPr>
        <w:pStyle w:val="3"/>
      </w:pPr>
      <w:r>
        <w:t>四、逐板块专业讲法＋大白话解释</w:t>
      </w:r>
    </w:p>
    <w:p w14:paraId="50ED8D45">
      <w:pPr>
        <w:pStyle w:val="4"/>
      </w:pPr>
      <w:r>
        <w:t>板块1｜项目概览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2542540">
        <w:trPr>
          <w:jc w:val="center"/>
        </w:trPr>
        <w:tc>
          <w:tcPr>
            <w:tcW w:w="9360" w:type="dxa"/>
            <w:shd w:val="clear" w:color="auto" w:fill="EEF4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AFD5A69">
            <w:pPr>
              <w:spacing w:after="80"/>
            </w:pPr>
            <w:r>
              <w:rPr>
                <w:rFonts w:ascii="Noto Sans SC" w:hAnsi="Noto Sans SC" w:eastAsia="Noto Sans SC"/>
                <w:b/>
                <w:color w:val="155EEF"/>
                <w:sz w:val="18"/>
              </w:rPr>
              <w:t>专业讲法</w:t>
            </w:r>
          </w:p>
          <w:p w14:paraId="55BC5DA5">
            <w:pPr>
              <w:spacing w:after="0" w:line="300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20"/>
              </w:rPr>
              <w:t>这个项目的目标，是将 MindSync 从具备生成能力的内部工具，升级为具备标准商品、统一计费与交易闭环的商业化产品。我负责0—1方案设计，产出包括竞品分析、商品与权益分层、积分定价表、支付及任务结算规则、产品原型、PRD和FAQ。</w:t>
            </w:r>
          </w:p>
        </w:tc>
      </w:tr>
    </w:tbl>
    <w:p w14:paraId="076863EA">
      <w:pPr>
        <w:spacing w:after="20"/>
      </w:pP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178AD9A">
        <w:trPr>
          <w:jc w:val="center"/>
        </w:trPr>
        <w:tc>
          <w:tcPr>
            <w:tcW w:w="9360" w:type="dxa"/>
            <w:shd w:val="clear" w:color="auto" w:fill="F4F8F5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D0BC791">
            <w:pPr>
              <w:spacing w:after="80"/>
            </w:pPr>
            <w:r>
              <w:rPr>
                <w:rFonts w:ascii="Noto Sans SC" w:hAnsi="Noto Sans SC" w:eastAsia="Noto Sans SC"/>
                <w:b/>
                <w:color w:val="13A8A8"/>
                <w:sz w:val="18"/>
              </w:rPr>
              <w:t>大白话解释</w:t>
            </w:r>
          </w:p>
          <w:p w14:paraId="4628A499">
            <w:pPr>
              <w:spacing w:after="0" w:line="300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20"/>
              </w:rPr>
              <w:t>原来平台能生成内容，但不知道怎么卖。我做的不是单独画一个付费页面，而是把“卖什么、卖多少钱、用户怎么买、买完怎么扣、失败怎么退”全部设计清楚。</w:t>
            </w:r>
          </w:p>
        </w:tc>
      </w:tr>
    </w:tbl>
    <w:p w14:paraId="16055C4E">
      <w:pPr>
        <w:spacing w:after="20"/>
      </w:pPr>
    </w:p>
    <w:p w14:paraId="7DC5B474">
      <w:pPr>
        <w:spacing w:after="160"/>
      </w:pPr>
      <w:r>
        <w:rPr>
          <w:rFonts w:ascii="Noto Sans SC" w:hAnsi="Noto Sans SC" w:eastAsia="Noto Sans SC"/>
          <w:b/>
          <w:color w:val="155EEF"/>
          <w:sz w:val="18"/>
        </w:rPr>
        <w:t>面试重点：</w:t>
      </w:r>
      <w:r>
        <w:rPr>
          <w:rFonts w:ascii="Noto Sans SC" w:hAnsi="Noto Sans SC" w:eastAsia="Noto Sans SC"/>
          <w:b w:val="0"/>
          <w:color w:val="667385"/>
          <w:sz w:val="19"/>
        </w:rPr>
        <w:t>明确你的负责范围。可以说“我主导方案设计与文档产出，并与研发、运营、销售协同确认”，不要把团队共同成果全部说成个人独立完成。</w:t>
      </w:r>
    </w:p>
    <w:p w14:paraId="22337AA4">
      <w:pPr>
        <w:pStyle w:val="4"/>
      </w:pPr>
      <w:r>
        <w:t>板块2｜问题定义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FE58BD4">
        <w:trPr>
          <w:jc w:val="center"/>
        </w:trPr>
        <w:tc>
          <w:tcPr>
            <w:tcW w:w="9360" w:type="dxa"/>
            <w:shd w:val="clear" w:color="auto" w:fill="EEF4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A33AA3B">
            <w:pPr>
              <w:spacing w:after="80"/>
            </w:pPr>
            <w:r>
              <w:rPr>
                <w:rFonts w:ascii="Noto Sans SC" w:hAnsi="Noto Sans SC" w:eastAsia="Noto Sans SC"/>
                <w:b/>
                <w:color w:val="155EEF"/>
                <w:sz w:val="18"/>
              </w:rPr>
              <w:t>专业讲法</w:t>
            </w:r>
          </w:p>
          <w:p w14:paraId="1F18B5CE">
            <w:pPr>
              <w:spacing w:after="0" w:line="300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20"/>
              </w:rPr>
              <w:t>我将问题拆成成本异构、价值差异、链路断裂和规则复杂四类。核心抽象是：底层供应商的计费方式属于平台内部成本语言，而用户需要的是稳定、可预期的内容产能语言。</w:t>
            </w:r>
          </w:p>
        </w:tc>
      </w:tr>
    </w:tbl>
    <w:p w14:paraId="47FC43E5">
      <w:pPr>
        <w:spacing w:after="20"/>
      </w:pP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2B441CB">
        <w:trPr>
          <w:jc w:val="center"/>
        </w:trPr>
        <w:tc>
          <w:tcPr>
            <w:tcW w:w="9360" w:type="dxa"/>
            <w:shd w:val="clear" w:color="auto" w:fill="F4F8F5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CCEFDCB">
            <w:pPr>
              <w:spacing w:after="80"/>
            </w:pPr>
            <w:r>
              <w:rPr>
                <w:rFonts w:ascii="Noto Sans SC" w:hAnsi="Noto Sans SC" w:eastAsia="Noto Sans SC"/>
                <w:b/>
                <w:color w:val="13A8A8"/>
                <w:sz w:val="18"/>
              </w:rPr>
              <w:t>大白话解释</w:t>
            </w:r>
          </w:p>
          <w:p w14:paraId="21D50179">
            <w:pPr>
              <w:spacing w:after="0" w:line="300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20"/>
              </w:rPr>
              <w:t>供应商怎么收我们的钱，不等于我们就应该怎么向用户收费。用户不想研究Token，只想知道自己能生成多少条视频、多少张图。</w:t>
            </w:r>
          </w:p>
        </w:tc>
      </w:tr>
    </w:tbl>
    <w:p w14:paraId="0FB866EA">
      <w:pPr>
        <w:spacing w:after="20"/>
      </w:pPr>
    </w:p>
    <w:p w14:paraId="437E57D5">
      <w:pPr>
        <w:spacing w:after="160"/>
      </w:pPr>
      <w:r>
        <w:rPr>
          <w:rFonts w:ascii="Noto Sans SC" w:hAnsi="Noto Sans SC" w:eastAsia="Noto Sans SC"/>
          <w:b/>
          <w:color w:val="155EEF"/>
          <w:sz w:val="18"/>
        </w:rPr>
        <w:t>面试重点：</w:t>
      </w:r>
      <w:r>
        <w:rPr>
          <w:rFonts w:ascii="Noto Sans SC" w:hAnsi="Noto Sans SC" w:eastAsia="Noto Sans SC"/>
          <w:b w:val="0"/>
          <w:color w:val="667385"/>
          <w:sz w:val="19"/>
        </w:rPr>
        <w:t>先讲为什么复杂，再讲你如何抽象。这个板块体现的不是总结能力，而是产品建模能力。</w:t>
      </w:r>
    </w:p>
    <w:p w14:paraId="2FA1D76D">
      <w:pPr>
        <w:pStyle w:val="4"/>
      </w:pPr>
      <w:r>
        <w:t>板块3｜竞品调研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E95BAB5">
        <w:trPr>
          <w:jc w:val="center"/>
        </w:trPr>
        <w:tc>
          <w:tcPr>
            <w:tcW w:w="9360" w:type="dxa"/>
            <w:shd w:val="clear" w:color="auto" w:fill="EEF4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B6DA4FA">
            <w:pPr>
              <w:spacing w:after="80"/>
            </w:pPr>
            <w:r>
              <w:rPr>
                <w:rFonts w:ascii="Noto Sans SC" w:hAnsi="Noto Sans SC" w:eastAsia="Noto Sans SC"/>
                <w:b/>
                <w:color w:val="155EEF"/>
                <w:sz w:val="18"/>
              </w:rPr>
              <w:t>专业讲法</w:t>
            </w:r>
          </w:p>
          <w:p w14:paraId="655A03B0">
            <w:pPr>
              <w:spacing w:after="0" w:line="300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20"/>
              </w:rPr>
              <w:t>我建立统一调研模板，覆盖价格、账期、积分、可生成量、模型权限、并发、席位、存储、补充包和企业服务。20个平台用于验证行业共性，6个代表样本用于深入拆解机制。最终只借鉴成熟机制，不直接照搬价格。</w:t>
            </w:r>
          </w:p>
        </w:tc>
      </w:tr>
    </w:tbl>
    <w:p w14:paraId="0689A8E7">
      <w:pPr>
        <w:spacing w:after="20"/>
      </w:pP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24B9032">
        <w:trPr>
          <w:jc w:val="center"/>
        </w:trPr>
        <w:tc>
          <w:tcPr>
            <w:tcW w:w="9360" w:type="dxa"/>
            <w:shd w:val="clear" w:color="auto" w:fill="F4F8F5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8593577">
            <w:pPr>
              <w:spacing w:after="80"/>
            </w:pPr>
            <w:r>
              <w:rPr>
                <w:rFonts w:ascii="Noto Sans SC" w:hAnsi="Noto Sans SC" w:eastAsia="Noto Sans SC"/>
                <w:b/>
                <w:color w:val="13A8A8"/>
                <w:sz w:val="18"/>
              </w:rPr>
              <w:t>大白话解释</w:t>
            </w:r>
          </w:p>
          <w:p w14:paraId="48B6AC8A">
            <w:pPr>
              <w:spacing w:after="0" w:line="300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20"/>
              </w:rPr>
              <w:t>我不是看完竞品截图就抄一个数字，而是把所有平台放在同一把尺子上比较。看完后再判断：哪些适合个人创作，哪些适合团队协作，哪些适合电商内容生产。</w:t>
            </w:r>
          </w:p>
        </w:tc>
      </w:tr>
    </w:tbl>
    <w:p w14:paraId="3523CDA9">
      <w:pPr>
        <w:spacing w:after="20"/>
      </w:pPr>
    </w:p>
    <w:p w14:paraId="28E41234">
      <w:pPr>
        <w:spacing w:after="160"/>
      </w:pPr>
      <w:r>
        <w:rPr>
          <w:rFonts w:ascii="Noto Sans SC" w:hAnsi="Noto Sans SC" w:eastAsia="Noto Sans SC"/>
          <w:b/>
          <w:color w:val="155EEF"/>
          <w:sz w:val="18"/>
        </w:rPr>
        <w:t>面试重点：</w:t>
      </w:r>
      <w:r>
        <w:rPr>
          <w:rFonts w:ascii="Noto Sans SC" w:hAnsi="Noto Sans SC" w:eastAsia="Noto Sans SC"/>
          <w:b w:val="0"/>
          <w:color w:val="667385"/>
          <w:sz w:val="19"/>
        </w:rPr>
        <w:t>如果被问“20个平台都看了吗”，要能举出6个代表样本及各自启发，不要背20个名字。公开价格会变化，应说明调研时间和口径。</w:t>
      </w:r>
    </w:p>
    <w:p w14:paraId="7E642745">
      <w:pPr>
        <w:pStyle w:val="4"/>
      </w:pPr>
      <w:r>
        <w:t>板块4｜用户与商品分层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7E0B919">
        <w:trPr>
          <w:jc w:val="center"/>
        </w:trPr>
        <w:tc>
          <w:tcPr>
            <w:tcW w:w="9360" w:type="dxa"/>
            <w:shd w:val="clear" w:color="auto" w:fill="EEF4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29DF901">
            <w:pPr>
              <w:spacing w:after="80"/>
            </w:pPr>
            <w:r>
              <w:rPr>
                <w:rFonts w:ascii="Noto Sans SC" w:hAnsi="Noto Sans SC" w:eastAsia="Noto Sans SC"/>
                <w:b/>
                <w:color w:val="155EEF"/>
                <w:sz w:val="18"/>
              </w:rPr>
              <w:t>专业讲法</w:t>
            </w:r>
          </w:p>
          <w:p w14:paraId="347CE96C">
            <w:pPr>
              <w:spacing w:after="0" w:line="300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20"/>
              </w:rPr>
              <w:t>我按购买对象和需求强度拆分商品：个人版解决单人稳定创作；团队版承接多人协同、共享资产和更高并发；积分包承接短期用量波峰；企业版承接无法标准化的席位、用量和服务需求。</w:t>
            </w:r>
          </w:p>
        </w:tc>
      </w:tr>
    </w:tbl>
    <w:p w14:paraId="5A27BF07">
      <w:pPr>
        <w:spacing w:after="20"/>
      </w:pP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E24A771">
        <w:trPr>
          <w:jc w:val="center"/>
        </w:trPr>
        <w:tc>
          <w:tcPr>
            <w:tcW w:w="9360" w:type="dxa"/>
            <w:shd w:val="clear" w:color="auto" w:fill="F4F8F5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E0438F6">
            <w:pPr>
              <w:spacing w:after="80"/>
            </w:pPr>
            <w:r>
              <w:rPr>
                <w:rFonts w:ascii="Noto Sans SC" w:hAnsi="Noto Sans SC" w:eastAsia="Noto Sans SC"/>
                <w:b/>
                <w:color w:val="13A8A8"/>
                <w:sz w:val="18"/>
              </w:rPr>
              <w:t>大白话解释</w:t>
            </w:r>
          </w:p>
          <w:p w14:paraId="73FA3F2B">
            <w:pPr>
              <w:spacing w:after="0" w:line="300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20"/>
              </w:rPr>
              <w:t>一个人用、一个团队用、临时不够用、大客户特殊采购，这四种情况不能用同一个套餐解决。</w:t>
            </w:r>
          </w:p>
        </w:tc>
      </w:tr>
    </w:tbl>
    <w:p w14:paraId="5C119AC3">
      <w:pPr>
        <w:spacing w:after="20"/>
      </w:pPr>
    </w:p>
    <w:p w14:paraId="2FB08E04">
      <w:pPr>
        <w:spacing w:after="160"/>
      </w:pPr>
      <w:r>
        <w:rPr>
          <w:rFonts w:ascii="Noto Sans SC" w:hAnsi="Noto Sans SC" w:eastAsia="Noto Sans SC"/>
          <w:b/>
          <w:color w:val="155EEF"/>
          <w:sz w:val="18"/>
        </w:rPr>
        <w:t>面试重点：</w:t>
      </w:r>
      <w:r>
        <w:rPr>
          <w:rFonts w:ascii="Noto Sans SC" w:hAnsi="Noto Sans SC" w:eastAsia="Noto Sans SC"/>
          <w:b w:val="0"/>
          <w:color w:val="667385"/>
          <w:sz w:val="19"/>
        </w:rPr>
        <w:t>商品分层必须对应不同用户问题，而不是为了让报价墙看起来丰富。</w:t>
      </w:r>
    </w:p>
    <w:p w14:paraId="3BEC2B8D">
      <w:pPr>
        <w:pStyle w:val="4"/>
      </w:pPr>
      <w:r>
        <w:t>板块5｜个人版定价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59BCDA4">
        <w:trPr>
          <w:jc w:val="center"/>
        </w:trPr>
        <w:tc>
          <w:tcPr>
            <w:tcW w:w="9360" w:type="dxa"/>
            <w:shd w:val="clear" w:color="auto" w:fill="EEF4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1C4B376">
            <w:pPr>
              <w:spacing w:after="80"/>
            </w:pPr>
            <w:r>
              <w:rPr>
                <w:rFonts w:ascii="Noto Sans SC" w:hAnsi="Noto Sans SC" w:eastAsia="Noto Sans SC"/>
                <w:b/>
                <w:color w:val="155EEF"/>
                <w:sz w:val="18"/>
              </w:rPr>
              <w:t>专业讲法</w:t>
            </w:r>
          </w:p>
          <w:p w14:paraId="67A4B6EB">
            <w:pPr>
              <w:spacing w:after="0" w:line="300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20"/>
              </w:rPr>
              <w:t>个人版采用基础版与专业版两档月订阅，通过积分、模型权限和并发能力形成差异。两档而非多档，是为了降低个人用户的决策成本，并用专业版承担主要价值锚点。</w:t>
            </w:r>
          </w:p>
        </w:tc>
      </w:tr>
    </w:tbl>
    <w:p w14:paraId="1D6A55B9">
      <w:pPr>
        <w:spacing w:after="20"/>
      </w:pP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FAAA3F5">
        <w:trPr>
          <w:jc w:val="center"/>
        </w:trPr>
        <w:tc>
          <w:tcPr>
            <w:tcW w:w="9360" w:type="dxa"/>
            <w:shd w:val="clear" w:color="auto" w:fill="F4F8F5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A5282DA">
            <w:pPr>
              <w:spacing w:after="80"/>
            </w:pPr>
            <w:r>
              <w:rPr>
                <w:rFonts w:ascii="Noto Sans SC" w:hAnsi="Noto Sans SC" w:eastAsia="Noto Sans SC"/>
                <w:b/>
                <w:color w:val="13A8A8"/>
                <w:sz w:val="18"/>
              </w:rPr>
              <w:t>大白话解释</w:t>
            </w:r>
          </w:p>
          <w:p w14:paraId="46447663">
            <w:pPr>
              <w:spacing w:after="0" w:line="300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20"/>
              </w:rPr>
              <w:t>个人用户没必要面对四五个套餐。基础版负责让用户进来，专业版负责让高频创作者升级。</w:t>
            </w:r>
          </w:p>
        </w:tc>
      </w:tr>
    </w:tbl>
    <w:p w14:paraId="046E0BD5">
      <w:pPr>
        <w:spacing w:after="20"/>
      </w:pPr>
    </w:p>
    <w:p w14:paraId="4A51E8F5">
      <w:pPr>
        <w:spacing w:after="160"/>
      </w:pPr>
      <w:r>
        <w:rPr>
          <w:rFonts w:ascii="Noto Sans SC" w:hAnsi="Noto Sans SC" w:eastAsia="Noto Sans SC"/>
          <w:b/>
          <w:color w:val="155EEF"/>
          <w:sz w:val="18"/>
        </w:rPr>
        <w:t>面试重点：</w:t>
      </w:r>
      <w:r>
        <w:rPr>
          <w:rFonts w:ascii="Noto Sans SC" w:hAnsi="Noto Sans SC" w:eastAsia="Noto Sans SC"/>
          <w:b w:val="0"/>
          <w:color w:val="667385"/>
          <w:sz w:val="19"/>
        </w:rPr>
        <w:t>作品集展示的¥4,980/月、¥9,800/月及积分均为脱敏后的方案口径。不要声称这些价格已经验证出真实转化。</w:t>
      </w:r>
    </w:p>
    <w:p w14:paraId="05C27485">
      <w:pPr>
        <w:pStyle w:val="4"/>
      </w:pPr>
      <w:r>
        <w:t>板块6｜团队版定价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CBF3681">
        <w:trPr>
          <w:jc w:val="center"/>
        </w:trPr>
        <w:tc>
          <w:tcPr>
            <w:tcW w:w="9360" w:type="dxa"/>
            <w:shd w:val="clear" w:color="auto" w:fill="EEF4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9907A5C">
            <w:pPr>
              <w:spacing w:after="80"/>
            </w:pPr>
            <w:r>
              <w:rPr>
                <w:rFonts w:ascii="Noto Sans SC" w:hAnsi="Noto Sans SC" w:eastAsia="Noto Sans SC"/>
                <w:b/>
                <w:color w:val="155EEF"/>
                <w:sz w:val="18"/>
              </w:rPr>
              <w:t>专业讲法</w:t>
            </w:r>
          </w:p>
          <w:p w14:paraId="72F6E531">
            <w:pPr>
              <w:spacing w:after="0" w:line="300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20"/>
              </w:rPr>
              <w:t>团队版采用年付基础、专业、旗舰和企业四档，标准档均包含基础协同席位并支持加席位。分层变量不仅是积分，还包括模型权限、并发、云存储、统一资产、用量看板、技术支持和专属服务。</w:t>
            </w:r>
          </w:p>
        </w:tc>
      </w:tr>
    </w:tbl>
    <w:p w14:paraId="77DBC030">
      <w:pPr>
        <w:spacing w:after="20"/>
      </w:pP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B91D898">
        <w:trPr>
          <w:jc w:val="center"/>
        </w:trPr>
        <w:tc>
          <w:tcPr>
            <w:tcW w:w="9360" w:type="dxa"/>
            <w:shd w:val="clear" w:color="auto" w:fill="F4F8F5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D4AD853">
            <w:pPr>
              <w:spacing w:after="80"/>
            </w:pPr>
            <w:r>
              <w:rPr>
                <w:rFonts w:ascii="Noto Sans SC" w:hAnsi="Noto Sans SC" w:eastAsia="Noto Sans SC"/>
                <w:b/>
                <w:color w:val="13A8A8"/>
                <w:sz w:val="18"/>
              </w:rPr>
              <w:t>大白话解释</w:t>
            </w:r>
          </w:p>
          <w:p w14:paraId="6F883E85">
            <w:pPr>
              <w:spacing w:after="0" w:line="300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20"/>
              </w:rPr>
              <w:t>团队客户买的不只是更多积分，还买“多人一起用、素材统一管理、任务更快跑、出问题有人管”。</w:t>
            </w:r>
          </w:p>
        </w:tc>
      </w:tr>
    </w:tbl>
    <w:p w14:paraId="787E5A70">
      <w:pPr>
        <w:spacing w:after="20"/>
      </w:pPr>
    </w:p>
    <w:p w14:paraId="4377C9CA">
      <w:pPr>
        <w:spacing w:after="160"/>
      </w:pPr>
      <w:r>
        <w:rPr>
          <w:rFonts w:ascii="Noto Sans SC" w:hAnsi="Noto Sans SC" w:eastAsia="Noto Sans SC"/>
          <w:b/>
          <w:color w:val="155EEF"/>
          <w:sz w:val="18"/>
        </w:rPr>
        <w:t>面试重点：</w:t>
      </w:r>
      <w:r>
        <w:rPr>
          <w:rFonts w:ascii="Noto Sans SC" w:hAnsi="Noto Sans SC" w:eastAsia="Noto Sans SC"/>
          <w:b w:val="0"/>
          <w:color w:val="667385"/>
          <w:sz w:val="19"/>
        </w:rPr>
        <w:t>团队版截图口径：基础版¥56,800/年、专业版¥160,000/年、旗舰版¥320,000/年，企业版定制。强调这是脱敏展示，不披露内部真实业务数据。</w:t>
      </w:r>
    </w:p>
    <w:p w14:paraId="323EFAB2">
      <w:pPr>
        <w:pStyle w:val="4"/>
      </w:pPr>
      <w:r>
        <w:t>板块7｜积分定价体系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1DB5BEF">
        <w:trPr>
          <w:jc w:val="center"/>
        </w:trPr>
        <w:tc>
          <w:tcPr>
            <w:tcW w:w="9360" w:type="dxa"/>
            <w:shd w:val="clear" w:color="auto" w:fill="EEF4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824ACAC">
            <w:pPr>
              <w:spacing w:after="80"/>
            </w:pPr>
            <w:r>
              <w:rPr>
                <w:rFonts w:ascii="Noto Sans SC" w:hAnsi="Noto Sans SC" w:eastAsia="Noto Sans SC"/>
                <w:b/>
                <w:color w:val="155EEF"/>
                <w:sz w:val="18"/>
              </w:rPr>
              <w:t>专业讲法</w:t>
            </w:r>
          </w:p>
          <w:p w14:paraId="20EE68E0">
            <w:pPr>
              <w:spacing w:after="0" w:line="300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20"/>
              </w:rPr>
              <w:t>积分是成本层与商品层之间的中间计价单位。我先将模型调用成本归一化为成本指数，再结合分辨率、参考素材、生成速度和用户价值设置价值系数，得到原始积分，并向上取整为可配置的前台积分。</w:t>
            </w:r>
          </w:p>
        </w:tc>
      </w:tr>
    </w:tbl>
    <w:p w14:paraId="7A9B2445">
      <w:pPr>
        <w:spacing w:after="20"/>
      </w:pP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75E28C3">
        <w:trPr>
          <w:jc w:val="center"/>
        </w:trPr>
        <w:tc>
          <w:tcPr>
            <w:tcW w:w="9360" w:type="dxa"/>
            <w:shd w:val="clear" w:color="auto" w:fill="F4F8F5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A3B3A50">
            <w:pPr>
              <w:spacing w:after="80"/>
            </w:pPr>
            <w:r>
              <w:rPr>
                <w:rFonts w:ascii="Noto Sans SC" w:hAnsi="Noto Sans SC" w:eastAsia="Noto Sans SC"/>
                <w:b/>
                <w:color w:val="13A8A8"/>
                <w:sz w:val="18"/>
              </w:rPr>
              <w:t>大白话解释</w:t>
            </w:r>
          </w:p>
          <w:p w14:paraId="298883C0">
            <w:pPr>
              <w:spacing w:after="0" w:line="300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20"/>
              </w:rPr>
              <w:t>积分相当于平台内部的“统一货币”。不管底层是按秒、按张还是按Token收钱，用户最后都只需要看积分。成本高、效果好或速度快的模型，扣的积分更多。</w:t>
            </w:r>
          </w:p>
        </w:tc>
      </w:tr>
    </w:tbl>
    <w:p w14:paraId="11305787">
      <w:pPr>
        <w:spacing w:after="20"/>
      </w:pPr>
    </w:p>
    <w:p w14:paraId="1E49DD3E">
      <w:pPr>
        <w:spacing w:after="160"/>
      </w:pPr>
      <w:r>
        <w:rPr>
          <w:rFonts w:ascii="Noto Sans SC" w:hAnsi="Noto Sans SC" w:eastAsia="Noto Sans SC"/>
          <w:b/>
          <w:color w:val="155EEF"/>
          <w:sz w:val="18"/>
        </w:rPr>
        <w:t>面试重点：</w:t>
      </w:r>
      <w:r>
        <w:rPr>
          <w:rFonts w:ascii="Noto Sans SC" w:hAnsi="Noto Sans SC" w:eastAsia="Noto Sans SC"/>
          <w:b w:val="0"/>
          <w:color w:val="667385"/>
          <w:sz w:val="19"/>
        </w:rPr>
        <w:t>模拟器用于说明方法，不是真实报价器。真实成本、毛利底线和供应商信息必须在后台，不应出现在前台或作品集中。</w:t>
      </w:r>
    </w:p>
    <w:p w14:paraId="49F50971">
      <w:pPr>
        <w:pStyle w:val="4"/>
      </w:pPr>
      <w:r>
        <w:t>板块8｜积分补充包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EB863B4">
        <w:trPr>
          <w:jc w:val="center"/>
        </w:trPr>
        <w:tc>
          <w:tcPr>
            <w:tcW w:w="9360" w:type="dxa"/>
            <w:shd w:val="clear" w:color="auto" w:fill="EEF4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C2A667E">
            <w:pPr>
              <w:spacing w:after="80"/>
            </w:pPr>
            <w:r>
              <w:rPr>
                <w:rFonts w:ascii="Noto Sans SC" w:hAnsi="Noto Sans SC" w:eastAsia="Noto Sans SC"/>
                <w:b/>
                <w:color w:val="155EEF"/>
                <w:sz w:val="18"/>
              </w:rPr>
              <w:t>专业讲法</w:t>
            </w:r>
          </w:p>
          <w:p w14:paraId="28E74A4C">
            <w:pPr>
              <w:spacing w:after="0" w:line="300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20"/>
              </w:rPr>
              <w:t>积分包用于承接会员在大促或项目高峰期的临时用量，不替代订阅。方案设置四档固定包，仅会员可购买，并定义到账、有效期、消耗优先级和退款边界。</w:t>
            </w:r>
          </w:p>
        </w:tc>
      </w:tr>
    </w:tbl>
    <w:p w14:paraId="3407AAEC">
      <w:pPr>
        <w:spacing w:after="20"/>
      </w:pP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5C347B6">
        <w:trPr>
          <w:jc w:val="center"/>
        </w:trPr>
        <w:tc>
          <w:tcPr>
            <w:tcW w:w="9360" w:type="dxa"/>
            <w:shd w:val="clear" w:color="auto" w:fill="F4F8F5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B60A143">
            <w:pPr>
              <w:spacing w:after="80"/>
            </w:pPr>
            <w:r>
              <w:rPr>
                <w:rFonts w:ascii="Noto Sans SC" w:hAnsi="Noto Sans SC" w:eastAsia="Noto Sans SC"/>
                <w:b/>
                <w:color w:val="13A8A8"/>
                <w:sz w:val="18"/>
              </w:rPr>
              <w:t>大白话解释</w:t>
            </w:r>
          </w:p>
          <w:p w14:paraId="700A9F47">
            <w:pPr>
              <w:spacing w:after="0" w:line="300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20"/>
              </w:rPr>
              <w:t>会员套餐不够用时，可以临时加油；但不能让用户只买油、不买车，所以补充包只给会员买。</w:t>
            </w:r>
          </w:p>
        </w:tc>
      </w:tr>
    </w:tbl>
    <w:p w14:paraId="194F83F7">
      <w:pPr>
        <w:spacing w:after="20"/>
      </w:pPr>
    </w:p>
    <w:p w14:paraId="40F3AC2D">
      <w:pPr>
        <w:spacing w:after="160"/>
      </w:pPr>
      <w:r>
        <w:rPr>
          <w:rFonts w:ascii="Noto Sans SC" w:hAnsi="Noto Sans SC" w:eastAsia="Noto Sans SC"/>
          <w:b/>
          <w:color w:val="155EEF"/>
          <w:sz w:val="18"/>
        </w:rPr>
        <w:t>面试重点：</w:t>
      </w:r>
      <w:r>
        <w:rPr>
          <w:rFonts w:ascii="Noto Sans SC" w:hAnsi="Noto Sans SC" w:eastAsia="Noto Sans SC"/>
          <w:b w:val="0"/>
          <w:color w:val="667385"/>
          <w:sz w:val="19"/>
        </w:rPr>
        <w:t>当前展示为5,000／10,000／20,000／50,000积分四档，对应脱敏价格。被问为什么单价一致时，可回答首期优先保证规则简单，后续可根据复购和毛利测试阶梯优惠。</w:t>
      </w:r>
    </w:p>
    <w:p w14:paraId="77AA1442">
      <w:pPr>
        <w:pStyle w:val="4"/>
      </w:pPr>
      <w:r>
        <w:t>板块9｜支付与企业签约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4FFCB35">
        <w:trPr>
          <w:jc w:val="center"/>
        </w:trPr>
        <w:tc>
          <w:tcPr>
            <w:tcW w:w="9360" w:type="dxa"/>
            <w:shd w:val="clear" w:color="auto" w:fill="EEF4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9BC7BA5">
            <w:pPr>
              <w:spacing w:after="80"/>
            </w:pPr>
            <w:r>
              <w:rPr>
                <w:rFonts w:ascii="Noto Sans SC" w:hAnsi="Noto Sans SC" w:eastAsia="Noto Sans SC"/>
                <w:b/>
                <w:color w:val="155EEF"/>
                <w:sz w:val="18"/>
              </w:rPr>
              <w:t>专业讲法</w:t>
            </w:r>
          </w:p>
          <w:p w14:paraId="0C7C3E56">
            <w:pPr>
              <w:spacing w:after="0" w:line="300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20"/>
              </w:rPr>
              <w:t>标准商品走在线支付，订单创建后由服务端支付回调确认成功，前端轮询状态并刷新会员与积分。企业版通过线索表单进入销售评估、报价、合同和开通流程，以承接非标准席位、用量与服务。</w:t>
            </w:r>
          </w:p>
        </w:tc>
      </w:tr>
    </w:tbl>
    <w:p w14:paraId="09C7D9B7">
      <w:pPr>
        <w:spacing w:after="20"/>
      </w:pP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20903CA">
        <w:trPr>
          <w:jc w:val="center"/>
        </w:trPr>
        <w:tc>
          <w:tcPr>
            <w:tcW w:w="9360" w:type="dxa"/>
            <w:shd w:val="clear" w:color="auto" w:fill="F4F8F5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F3D81B5">
            <w:pPr>
              <w:spacing w:after="80"/>
            </w:pPr>
            <w:r>
              <w:rPr>
                <w:rFonts w:ascii="Noto Sans SC" w:hAnsi="Noto Sans SC" w:eastAsia="Noto Sans SC"/>
                <w:b/>
                <w:color w:val="13A8A8"/>
                <w:sz w:val="18"/>
              </w:rPr>
              <w:t>大白话解释</w:t>
            </w:r>
          </w:p>
          <w:p w14:paraId="13A0C4FB">
            <w:pPr>
              <w:spacing w:after="0" w:line="300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20"/>
              </w:rPr>
              <w:t>普通用户可以直接买；大客户需求差异太大，不适合点一下就付款，要先找销售谈清楚。</w:t>
            </w:r>
          </w:p>
        </w:tc>
      </w:tr>
    </w:tbl>
    <w:p w14:paraId="253AFBB9">
      <w:pPr>
        <w:spacing w:after="20"/>
      </w:pPr>
    </w:p>
    <w:p w14:paraId="728851CF">
      <w:pPr>
        <w:spacing w:after="160"/>
      </w:pPr>
      <w:r>
        <w:rPr>
          <w:rFonts w:ascii="Noto Sans SC" w:hAnsi="Noto Sans SC" w:eastAsia="Noto Sans SC"/>
          <w:b/>
          <w:color w:val="155EEF"/>
          <w:sz w:val="18"/>
        </w:rPr>
        <w:t>面试重点：</w:t>
      </w:r>
      <w:r>
        <w:rPr>
          <w:rFonts w:ascii="Noto Sans SC" w:hAnsi="Noto Sans SC" w:eastAsia="Noto Sans SC"/>
          <w:b w:val="0"/>
          <w:color w:val="667385"/>
          <w:sz w:val="19"/>
        </w:rPr>
        <w:t>支付成功不能只相信前端跳转页面，必须以服务端回调为准，并处理重复回调的幂等。</w:t>
      </w:r>
    </w:p>
    <w:p w14:paraId="0D730FEC">
      <w:pPr>
        <w:pStyle w:val="4"/>
      </w:pPr>
      <w:r>
        <w:t>板块10｜任务计费与账务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09383A7">
        <w:trPr>
          <w:jc w:val="center"/>
        </w:trPr>
        <w:tc>
          <w:tcPr>
            <w:tcW w:w="9360" w:type="dxa"/>
            <w:shd w:val="clear" w:color="auto" w:fill="EEF4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3F20FBF">
            <w:pPr>
              <w:spacing w:after="80"/>
            </w:pPr>
            <w:r>
              <w:rPr>
                <w:rFonts w:ascii="Noto Sans SC" w:hAnsi="Noto Sans SC" w:eastAsia="Noto Sans SC"/>
                <w:b/>
                <w:color w:val="155EEF"/>
                <w:sz w:val="18"/>
              </w:rPr>
              <w:t>专业讲法</w:t>
            </w:r>
          </w:p>
          <w:p w14:paraId="0FF08396">
            <w:pPr>
              <w:spacing w:after="0" w:line="300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20"/>
              </w:rPr>
              <w:t>任务执行采用试算、余额校验、预扣、执行和结算五步。成功后预扣转正式消费，失败、取消或超时则退回，并释放并发。积分账本记录来源、去向、有效期和关联任务，实现可追溯。</w:t>
            </w:r>
          </w:p>
        </w:tc>
      </w:tr>
    </w:tbl>
    <w:p w14:paraId="23D6A404">
      <w:pPr>
        <w:spacing w:after="20"/>
      </w:pP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0B016AC">
        <w:trPr>
          <w:jc w:val="center"/>
        </w:trPr>
        <w:tc>
          <w:tcPr>
            <w:tcW w:w="9360" w:type="dxa"/>
            <w:shd w:val="clear" w:color="auto" w:fill="F4F8F5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C7642FD">
            <w:pPr>
              <w:spacing w:after="80"/>
            </w:pPr>
            <w:r>
              <w:rPr>
                <w:rFonts w:ascii="Noto Sans SC" w:hAnsi="Noto Sans SC" w:eastAsia="Noto Sans SC"/>
                <w:b/>
                <w:color w:val="13A8A8"/>
                <w:sz w:val="18"/>
              </w:rPr>
              <w:t>大白话解释</w:t>
            </w:r>
          </w:p>
          <w:p w14:paraId="15A92952">
            <w:pPr>
              <w:spacing w:after="0" w:line="300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20"/>
              </w:rPr>
              <w:t>先估算这次要花多少积分并暂时锁住，成功才真的扣；失败就退回来，不能让用户白白损失。</w:t>
            </w:r>
          </w:p>
        </w:tc>
      </w:tr>
    </w:tbl>
    <w:p w14:paraId="475275CE">
      <w:pPr>
        <w:spacing w:after="20"/>
      </w:pPr>
    </w:p>
    <w:p w14:paraId="6A557A70">
      <w:pPr>
        <w:spacing w:after="160"/>
      </w:pPr>
      <w:r>
        <w:rPr>
          <w:rFonts w:ascii="Noto Sans SC" w:hAnsi="Noto Sans SC" w:eastAsia="Noto Sans SC"/>
          <w:b/>
          <w:color w:val="155EEF"/>
          <w:sz w:val="18"/>
        </w:rPr>
        <w:t>面试重点：</w:t>
      </w:r>
      <w:r>
        <w:rPr>
          <w:rFonts w:ascii="Noto Sans SC" w:hAnsi="Noto Sans SC" w:eastAsia="Noto Sans SC"/>
          <w:b w:val="0"/>
          <w:color w:val="667385"/>
          <w:sz w:val="19"/>
        </w:rPr>
        <w:t>这个板块最能证明你不是只会做前台页面。重点讲异常场景、账务一致性和可追溯性。</w:t>
      </w:r>
    </w:p>
    <w:p w14:paraId="3B052F77">
      <w:pPr>
        <w:pStyle w:val="4"/>
      </w:pPr>
      <w:r>
        <w:t>板块11｜上线验证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008D851">
        <w:trPr>
          <w:jc w:val="center"/>
        </w:trPr>
        <w:tc>
          <w:tcPr>
            <w:tcW w:w="9360" w:type="dxa"/>
            <w:shd w:val="clear" w:color="auto" w:fill="EEF4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DDE0A28">
            <w:pPr>
              <w:spacing w:after="80"/>
            </w:pPr>
            <w:r>
              <w:rPr>
                <w:rFonts w:ascii="Noto Sans SC" w:hAnsi="Noto Sans SC" w:eastAsia="Noto Sans SC"/>
                <w:b/>
                <w:color w:val="155EEF"/>
                <w:sz w:val="18"/>
              </w:rPr>
              <w:t>专业讲法</w:t>
            </w:r>
          </w:p>
          <w:p w14:paraId="414385D5">
            <w:pPr>
              <w:spacing w:after="0" w:line="300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20"/>
              </w:rPr>
              <w:t>上线验证采用“转化漏斗＋实验变量＋护栏指标”。主漏斗包括付费墙曝光、商品点击、发起支付、支付成功和复购升级；实验聚焦价格锚点、权益表达和升级触发；护栏覆盖毛利、任务成功率、积分退款率、支付失败率与投诉率。</w:t>
            </w:r>
          </w:p>
        </w:tc>
      </w:tr>
    </w:tbl>
    <w:p w14:paraId="5EF5CA69">
      <w:pPr>
        <w:spacing w:after="20"/>
      </w:pP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5523C9C">
        <w:trPr>
          <w:jc w:val="center"/>
        </w:trPr>
        <w:tc>
          <w:tcPr>
            <w:tcW w:w="9360" w:type="dxa"/>
            <w:shd w:val="clear" w:color="auto" w:fill="F4F8F5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9B804F4">
            <w:pPr>
              <w:spacing w:after="80"/>
            </w:pPr>
            <w:r>
              <w:rPr>
                <w:rFonts w:ascii="Noto Sans SC" w:hAnsi="Noto Sans SC" w:eastAsia="Noto Sans SC"/>
                <w:b/>
                <w:color w:val="13A8A8"/>
                <w:sz w:val="18"/>
              </w:rPr>
              <w:t>大白话解释</w:t>
            </w:r>
          </w:p>
          <w:p w14:paraId="3A57F10B">
            <w:pPr>
              <w:spacing w:after="0" w:line="300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20"/>
              </w:rPr>
              <w:t>不是上线后只看卖了多少钱。还要看用户在哪一步流失、为什么不买、买完用得顺不顺，以及赚不赚钱。</w:t>
            </w:r>
          </w:p>
        </w:tc>
      </w:tr>
    </w:tbl>
    <w:p w14:paraId="23212C16">
      <w:pPr>
        <w:spacing w:after="20"/>
      </w:pPr>
    </w:p>
    <w:p w14:paraId="0AED73D9">
      <w:pPr>
        <w:spacing w:after="160"/>
      </w:pPr>
      <w:r>
        <w:rPr>
          <w:rFonts w:ascii="Noto Sans SC" w:hAnsi="Noto Sans SC" w:eastAsia="Noto Sans SC"/>
          <w:b/>
          <w:color w:val="155EEF"/>
          <w:sz w:val="18"/>
        </w:rPr>
        <w:t>面试重点：</w:t>
      </w:r>
      <w:r>
        <w:rPr>
          <w:rFonts w:ascii="Noto Sans SC" w:hAnsi="Noto Sans SC" w:eastAsia="Noto Sans SC"/>
          <w:b w:val="0"/>
          <w:color w:val="667385"/>
          <w:sz w:val="19"/>
        </w:rPr>
        <w:t>没有真实上线数据时，明确说“这是预设验证方案”。真实、诚实比虚构增长数字更专业。</w:t>
      </w:r>
    </w:p>
    <w:p w14:paraId="49A1C352">
      <w:pPr>
        <w:pStyle w:val="4"/>
      </w:pPr>
      <w:r>
        <w:t>板块12｜项目复盘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637B264">
        <w:trPr>
          <w:jc w:val="center"/>
        </w:trPr>
        <w:tc>
          <w:tcPr>
            <w:tcW w:w="9360" w:type="dxa"/>
            <w:shd w:val="clear" w:color="auto" w:fill="EEF4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765CF99">
            <w:pPr>
              <w:spacing w:after="80"/>
            </w:pPr>
            <w:r>
              <w:rPr>
                <w:rFonts w:ascii="Noto Sans SC" w:hAnsi="Noto Sans SC" w:eastAsia="Noto Sans SC"/>
                <w:b/>
                <w:color w:val="155EEF"/>
                <w:sz w:val="18"/>
              </w:rPr>
              <w:t>专业讲法</w:t>
            </w:r>
          </w:p>
          <w:p w14:paraId="028A2011">
            <w:pPr>
              <w:spacing w:after="0" w:line="300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20"/>
              </w:rPr>
              <w:t>我的主要复盘是：第一，积分必须持续与真实成本和用户价值校准；第二，团队版要分别管理席位与用量，避免把新增成员等同于新增积分；第三，商业化规则必须后台可配置，降低模型与价格变化带来的研发成本。</w:t>
            </w:r>
          </w:p>
        </w:tc>
      </w:tr>
    </w:tbl>
    <w:p w14:paraId="46C07828">
      <w:pPr>
        <w:spacing w:after="20"/>
      </w:pP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25814EF">
        <w:trPr>
          <w:jc w:val="center"/>
        </w:trPr>
        <w:tc>
          <w:tcPr>
            <w:tcW w:w="9360" w:type="dxa"/>
            <w:shd w:val="clear" w:color="auto" w:fill="F4F8F5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210E2FA1">
            <w:pPr>
              <w:spacing w:after="80"/>
            </w:pPr>
            <w:r>
              <w:rPr>
                <w:rFonts w:ascii="Noto Sans SC" w:hAnsi="Noto Sans SC" w:eastAsia="Noto Sans SC"/>
                <w:b/>
                <w:color w:val="13A8A8"/>
                <w:sz w:val="18"/>
              </w:rPr>
              <w:t>大白话解释</w:t>
            </w:r>
          </w:p>
          <w:p w14:paraId="55B205B0">
            <w:pPr>
              <w:spacing w:after="0" w:line="300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20"/>
              </w:rPr>
              <w:t>价格不是定完就不动；团队人数和用量不是一回事；以后改模型和价格不能每次都重新开发。</w:t>
            </w:r>
          </w:p>
        </w:tc>
      </w:tr>
    </w:tbl>
    <w:p w14:paraId="647A6B94">
      <w:pPr>
        <w:spacing w:after="20"/>
      </w:pPr>
    </w:p>
    <w:p w14:paraId="4A642C8D">
      <w:pPr>
        <w:spacing w:after="160"/>
      </w:pPr>
      <w:r>
        <w:rPr>
          <w:rFonts w:ascii="Noto Sans SC" w:hAnsi="Noto Sans SC" w:eastAsia="Noto Sans SC"/>
          <w:b/>
          <w:color w:val="155EEF"/>
          <w:sz w:val="18"/>
        </w:rPr>
        <w:t>面试重点：</w:t>
      </w:r>
      <w:r>
        <w:rPr>
          <w:rFonts w:ascii="Noto Sans SC" w:hAnsi="Noto Sans SC" w:eastAsia="Noto Sans SC"/>
          <w:b w:val="0"/>
          <w:color w:val="667385"/>
          <w:sz w:val="19"/>
        </w:rPr>
        <w:t>复盘要讲下一步怎么做，而不是只说“沟通要更充分”。</w:t>
      </w:r>
    </w:p>
    <w:p w14:paraId="4278980A">
      <w:r>
        <w:br w:type="page"/>
      </w:r>
    </w:p>
    <w:p w14:paraId="43E6C199">
      <w:pPr>
        <w:pStyle w:val="3"/>
      </w:pPr>
      <w:r>
        <w:t>五、积分定价逻辑专项复盘</w:t>
      </w:r>
    </w:p>
    <w:p w14:paraId="18944E61">
      <w:pPr>
        <w:pStyle w:val="4"/>
      </w:pPr>
      <w:r>
        <w:t>1. 为什么一定需要积分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3311"/>
        <w:gridCol w:w="4536"/>
      </w:tblGrid>
      <w:tr w14:paraId="0ABCDD5E">
        <w:trPr>
          <w:tblHeader/>
          <w:jc w:val="center"/>
        </w:trPr>
        <w:tc>
          <w:tcPr>
            <w:tcW w:w="1512" w:type="dxa"/>
            <w:shd w:val="clear" w:color="auto" w:fill="10151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C8C589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层级</w:t>
            </w:r>
          </w:p>
        </w:tc>
        <w:tc>
          <w:tcPr>
            <w:tcW w:w="3311" w:type="dxa"/>
            <w:shd w:val="clear" w:color="auto" w:fill="10151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A20C45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真实问题</w:t>
            </w:r>
          </w:p>
        </w:tc>
        <w:tc>
          <w:tcPr>
            <w:tcW w:w="4536" w:type="dxa"/>
            <w:shd w:val="clear" w:color="auto" w:fill="10151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8BCB00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产品处理</w:t>
            </w:r>
          </w:p>
        </w:tc>
      </w:tr>
      <w:tr w14:paraId="4302F968">
        <w:trPr>
          <w:jc w:val="center"/>
        </w:trPr>
        <w:tc>
          <w:tcPr>
            <w:tcW w:w="15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FD5A63">
            <w:pPr>
              <w:spacing w:after="0" w:line="276" w:lineRule="auto"/>
            </w:pPr>
            <w:r>
              <w:rPr>
                <w:rFonts w:ascii="Noto Sans SC" w:hAnsi="Noto Sans SC" w:eastAsia="Noto Sans SC"/>
                <w:b/>
                <w:color w:val="155EEF"/>
                <w:sz w:val="17"/>
              </w:rPr>
              <w:t>成本层</w:t>
            </w:r>
          </w:p>
        </w:tc>
        <w:tc>
          <w:tcPr>
            <w:tcW w:w="33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B21809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不同供应商按Token、秒、张、次计费</w:t>
            </w:r>
          </w:p>
        </w:tc>
        <w:tc>
          <w:tcPr>
            <w:tcW w:w="45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BBDC22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统一折算为内部成本指数</w:t>
            </w:r>
          </w:p>
        </w:tc>
      </w:tr>
      <w:tr w14:paraId="57693486">
        <w:trPr>
          <w:jc w:val="center"/>
        </w:trPr>
        <w:tc>
          <w:tcPr>
            <w:tcW w:w="151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145F1">
            <w:pPr>
              <w:spacing w:after="0" w:line="276" w:lineRule="auto"/>
            </w:pPr>
            <w:r>
              <w:rPr>
                <w:rFonts w:ascii="Noto Sans SC" w:hAnsi="Noto Sans SC" w:eastAsia="Noto Sans SC"/>
                <w:b/>
                <w:color w:val="155EEF"/>
                <w:sz w:val="17"/>
              </w:rPr>
              <w:t>计价层</w:t>
            </w:r>
          </w:p>
        </w:tc>
        <w:tc>
          <w:tcPr>
            <w:tcW w:w="3311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025A76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不同规格成本与用户价值不一致</w:t>
            </w:r>
          </w:p>
        </w:tc>
        <w:tc>
          <w:tcPr>
            <w:tcW w:w="4536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48C7B4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成本指数×价值系数→积分</w:t>
            </w:r>
          </w:p>
        </w:tc>
      </w:tr>
      <w:tr w14:paraId="562D3CCF">
        <w:trPr>
          <w:jc w:val="center"/>
        </w:trPr>
        <w:tc>
          <w:tcPr>
            <w:tcW w:w="15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6905AD">
            <w:pPr>
              <w:spacing w:after="0" w:line="276" w:lineRule="auto"/>
            </w:pPr>
            <w:r>
              <w:rPr>
                <w:rFonts w:ascii="Noto Sans SC" w:hAnsi="Noto Sans SC" w:eastAsia="Noto Sans SC"/>
                <w:b/>
                <w:color w:val="155EEF"/>
                <w:sz w:val="17"/>
              </w:rPr>
              <w:t>商品层</w:t>
            </w:r>
          </w:p>
        </w:tc>
        <w:tc>
          <w:tcPr>
            <w:tcW w:w="33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F50152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用户难以理解纯积分数字</w:t>
            </w:r>
          </w:p>
        </w:tc>
        <w:tc>
          <w:tcPr>
            <w:tcW w:w="45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A71E95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套餐积分＋约可生成量</w:t>
            </w:r>
          </w:p>
        </w:tc>
      </w:tr>
      <w:tr w14:paraId="7045ECF9">
        <w:trPr>
          <w:jc w:val="center"/>
        </w:trPr>
        <w:tc>
          <w:tcPr>
            <w:tcW w:w="151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5A5270">
            <w:pPr>
              <w:spacing w:after="0" w:line="276" w:lineRule="auto"/>
            </w:pPr>
            <w:r>
              <w:rPr>
                <w:rFonts w:ascii="Noto Sans SC" w:hAnsi="Noto Sans SC" w:eastAsia="Noto Sans SC"/>
                <w:b/>
                <w:color w:val="155EEF"/>
                <w:sz w:val="17"/>
              </w:rPr>
              <w:t>结算层</w:t>
            </w:r>
          </w:p>
        </w:tc>
        <w:tc>
          <w:tcPr>
            <w:tcW w:w="3311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CE5893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任务存在失败、取消与超时</w:t>
            </w:r>
          </w:p>
        </w:tc>
        <w:tc>
          <w:tcPr>
            <w:tcW w:w="4536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E1DF00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预扣、成功结算、失败退回</w:t>
            </w:r>
          </w:p>
        </w:tc>
      </w:tr>
      <w:tr w14:paraId="124CA5FE">
        <w:trPr>
          <w:jc w:val="center"/>
        </w:trPr>
        <w:tc>
          <w:tcPr>
            <w:tcW w:w="15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0F4ADF">
            <w:pPr>
              <w:spacing w:after="0" w:line="276" w:lineRule="auto"/>
            </w:pPr>
            <w:r>
              <w:rPr>
                <w:rFonts w:ascii="Noto Sans SC" w:hAnsi="Noto Sans SC" w:eastAsia="Noto Sans SC"/>
                <w:b/>
                <w:color w:val="155EEF"/>
                <w:sz w:val="17"/>
              </w:rPr>
              <w:t>运营层</w:t>
            </w:r>
          </w:p>
        </w:tc>
        <w:tc>
          <w:tcPr>
            <w:tcW w:w="33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6F59EC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模型成本和价格会变化</w:t>
            </w:r>
          </w:p>
        </w:tc>
        <w:tc>
          <w:tcPr>
            <w:tcW w:w="45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4DC619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后台配置模型、规格和积分规则</w:t>
            </w:r>
          </w:p>
        </w:tc>
      </w:tr>
    </w:tbl>
    <w:p w14:paraId="2233D534">
      <w:pPr>
        <w:pStyle w:val="4"/>
      </w:pPr>
      <w:r>
        <w:t>2. 面试中如何解释公式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20659D6">
        <w:trPr>
          <w:jc w:val="center"/>
        </w:trPr>
        <w:tc>
          <w:tcPr>
            <w:tcW w:w="9360" w:type="dxa"/>
            <w:shd w:val="clear" w:color="auto" w:fill="EEF4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9A52110">
            <w:pPr>
              <w:spacing w:after="80"/>
            </w:pPr>
            <w:r>
              <w:rPr>
                <w:rFonts w:ascii="Noto Sans SC" w:hAnsi="Noto Sans SC" w:eastAsia="Noto Sans SC"/>
                <w:b/>
                <w:color w:val="155EEF"/>
                <w:sz w:val="18"/>
              </w:rPr>
              <w:t>专业表达</w:t>
            </w:r>
          </w:p>
          <w:p w14:paraId="60BEDFC6">
            <w:pPr>
              <w:spacing w:after="0" w:line="300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20"/>
              </w:rPr>
              <w:t>建议积分 = 向上取整［（脱敏成本指数 ÷ 积分成本基准）× 价值系数］。成本指数用于统一不同模型的底层成本；价值系数用于体现清晰度、生成速度、参考素材和用户感知差异；向上取整用于降低前台认知负担和减少规则碎片。</w:t>
            </w:r>
          </w:p>
        </w:tc>
      </w:tr>
    </w:tbl>
    <w:p w14:paraId="55CED2C8">
      <w:pPr>
        <w:spacing w:after="20"/>
      </w:pP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FB94799">
        <w:trPr>
          <w:jc w:val="center"/>
        </w:trPr>
        <w:tc>
          <w:tcPr>
            <w:tcW w:w="9360" w:type="dxa"/>
            <w:shd w:val="clear" w:color="auto" w:fill="F4F8F5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2823137">
            <w:pPr>
              <w:spacing w:after="80"/>
            </w:pPr>
            <w:r>
              <w:rPr>
                <w:rFonts w:ascii="Noto Sans SC" w:hAnsi="Noto Sans SC" w:eastAsia="Noto Sans SC"/>
                <w:b/>
                <w:color w:val="13A8A8"/>
                <w:sz w:val="18"/>
              </w:rPr>
              <w:t>大白话</w:t>
            </w:r>
          </w:p>
          <w:p w14:paraId="0C87930F">
            <w:pPr>
              <w:spacing w:after="0" w:line="300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20"/>
              </w:rPr>
              <w:t>先算平台做一次任务大概要花多少钱，再看这个能力对用户值不值钱，最后换成一个好记的整数积分。前台只告诉用户扣多少积分，后台才保留真正成本和利润底线。</w:t>
            </w:r>
          </w:p>
        </w:tc>
      </w:tr>
    </w:tbl>
    <w:p w14:paraId="17523C9B">
      <w:pPr>
        <w:spacing w:after="20"/>
      </w:pPr>
    </w:p>
    <w:p w14:paraId="5204223D">
      <w:pPr>
        <w:pStyle w:val="4"/>
      </w:pPr>
      <w:r>
        <w:t>3. 一个可讲的脱敏示例</w:t>
      </w:r>
    </w:p>
    <w:p w14:paraId="13A0D6DC">
      <w:pPr>
        <w:spacing w:after="120"/>
      </w:pPr>
      <w:r>
        <w:rPr>
          <w:rFonts w:ascii="Noto Sans SC" w:hAnsi="Noto Sans SC" w:eastAsia="Noto Sans SC"/>
          <w:b w:val="0"/>
        </w:rPr>
        <w:t>假设某视频模型的脱敏成本指数为0.56，积分成本基准为0.18，价值系数为1.2，则原始积分约为3.73，向上取整后配置为4积分/秒。10秒任务基础消耗40积分；如果使用参考素材，可再增加1积分/秒，则预计消耗50积分。该示例只用于展示定价推导方式，不代表真实业务成本。</w:t>
      </w:r>
    </w:p>
    <w:p w14:paraId="5E837402">
      <w:pPr>
        <w:pStyle w:val="4"/>
      </w:pPr>
      <w:r>
        <w:t>4. 为什么不能只按成本加毛利</w:t>
      </w:r>
    </w:p>
    <w:p w14:paraId="41EAD52F">
      <w:pPr>
        <w:pStyle w:val="16"/>
        <w:spacing w:after="60"/>
      </w:pPr>
      <w:r>
        <w:rPr>
          <w:rFonts w:ascii="Noto Sans SC" w:hAnsi="Noto Sans SC" w:eastAsia="Noto Sans SC"/>
          <w:b w:val="0"/>
        </w:rPr>
        <w:t>模型成本会变化，只按成本定价会导致用户价格频繁波动。</w:t>
      </w:r>
    </w:p>
    <w:p w14:paraId="14334EA6">
      <w:pPr>
        <w:pStyle w:val="16"/>
        <w:spacing w:after="60"/>
      </w:pPr>
      <w:r>
        <w:rPr>
          <w:rFonts w:ascii="Noto Sans SC" w:hAnsi="Noto Sans SC" w:eastAsia="Noto Sans SC"/>
          <w:b w:val="0"/>
        </w:rPr>
        <w:t>高质量、速度快或工作流价值高的能力，用户愿付价值可能高于底层成本差。</w:t>
      </w:r>
    </w:p>
    <w:p w14:paraId="7185C384">
      <w:pPr>
        <w:pStyle w:val="16"/>
        <w:spacing w:after="60"/>
      </w:pPr>
      <w:r>
        <w:rPr>
          <w:rFonts w:ascii="Noto Sans SC" w:hAnsi="Noto Sans SC" w:eastAsia="Noto Sans SC"/>
          <w:b w:val="0"/>
        </w:rPr>
        <w:t>低门槛能力可能需要承担拉新和体验入口，不能机械追求单次高毛利。</w:t>
      </w:r>
    </w:p>
    <w:p w14:paraId="46E4288E">
      <w:pPr>
        <w:pStyle w:val="16"/>
        <w:spacing w:after="60"/>
      </w:pPr>
      <w:r>
        <w:rPr>
          <w:rFonts w:ascii="Noto Sans SC" w:hAnsi="Noto Sans SC" w:eastAsia="Noto Sans SC"/>
          <w:b w:val="0"/>
        </w:rPr>
        <w:t>组合任务包含多个模型和流程，按底层调用逐项展示会显著增加认知负担。</w:t>
      </w:r>
    </w:p>
    <w:p w14:paraId="6DE694BF">
      <w:r>
        <w:br w:type="page"/>
      </w:r>
    </w:p>
    <w:p w14:paraId="34D71490">
      <w:pPr>
        <w:pStyle w:val="3"/>
      </w:pPr>
      <w:r>
        <w:t>六、团队版商业化逻辑专项复盘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5"/>
        <w:gridCol w:w="3096"/>
        <w:gridCol w:w="4608"/>
      </w:tblGrid>
      <w:tr w14:paraId="6136EB65">
        <w:trPr>
          <w:tblHeader/>
          <w:jc w:val="center"/>
        </w:trPr>
        <w:tc>
          <w:tcPr>
            <w:tcW w:w="1655" w:type="dxa"/>
            <w:shd w:val="clear" w:color="auto" w:fill="10151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D20408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分层维度</w:t>
            </w:r>
          </w:p>
        </w:tc>
        <w:tc>
          <w:tcPr>
            <w:tcW w:w="3096" w:type="dxa"/>
            <w:shd w:val="clear" w:color="auto" w:fill="10151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C36C8B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为什么影响付费</w:t>
            </w:r>
          </w:p>
        </w:tc>
        <w:tc>
          <w:tcPr>
            <w:tcW w:w="4608" w:type="dxa"/>
            <w:shd w:val="clear" w:color="auto" w:fill="10151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25D483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如何体现</w:t>
            </w:r>
          </w:p>
        </w:tc>
      </w:tr>
      <w:tr w14:paraId="55B2F56D">
        <w:trPr>
          <w:jc w:val="center"/>
        </w:trPr>
        <w:tc>
          <w:tcPr>
            <w:tcW w:w="165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6635CC">
            <w:pPr>
              <w:spacing w:after="0" w:line="276" w:lineRule="auto"/>
            </w:pPr>
            <w:r>
              <w:rPr>
                <w:rFonts w:ascii="Noto Sans SC" w:hAnsi="Noto Sans SC" w:eastAsia="Noto Sans SC"/>
                <w:b/>
                <w:color w:val="155EEF"/>
                <w:sz w:val="17"/>
              </w:rPr>
              <w:t>积分用量</w:t>
            </w:r>
          </w:p>
        </w:tc>
        <w:tc>
          <w:tcPr>
            <w:tcW w:w="30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3F8E45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决定可生产的内容规模</w:t>
            </w:r>
          </w:p>
        </w:tc>
        <w:tc>
          <w:tcPr>
            <w:tcW w:w="4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A8AC08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年度积分额度</w:t>
            </w:r>
          </w:p>
        </w:tc>
      </w:tr>
      <w:tr w14:paraId="28F339FC">
        <w:trPr>
          <w:jc w:val="center"/>
        </w:trPr>
        <w:tc>
          <w:tcPr>
            <w:tcW w:w="1655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D1A393">
            <w:pPr>
              <w:spacing w:after="0" w:line="276" w:lineRule="auto"/>
            </w:pPr>
            <w:r>
              <w:rPr>
                <w:rFonts w:ascii="Noto Sans SC" w:hAnsi="Noto Sans SC" w:eastAsia="Noto Sans SC"/>
                <w:b/>
                <w:color w:val="155EEF"/>
                <w:sz w:val="17"/>
              </w:rPr>
              <w:t>模型权限</w:t>
            </w:r>
          </w:p>
        </w:tc>
        <w:tc>
          <w:tcPr>
            <w:tcW w:w="3096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EC7289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决定内容质量和能力上限</w:t>
            </w:r>
          </w:p>
        </w:tc>
        <w:tc>
          <w:tcPr>
            <w:tcW w:w="460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EFCAFC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基础模型／全部模型</w:t>
            </w:r>
          </w:p>
        </w:tc>
      </w:tr>
      <w:tr w14:paraId="22875965">
        <w:trPr>
          <w:jc w:val="center"/>
        </w:trPr>
        <w:tc>
          <w:tcPr>
            <w:tcW w:w="165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1C2524">
            <w:pPr>
              <w:spacing w:after="0" w:line="276" w:lineRule="auto"/>
            </w:pPr>
            <w:r>
              <w:rPr>
                <w:rFonts w:ascii="Noto Sans SC" w:hAnsi="Noto Sans SC" w:eastAsia="Noto Sans SC"/>
                <w:b/>
                <w:color w:val="155EEF"/>
                <w:sz w:val="17"/>
              </w:rPr>
              <w:t>并发能力</w:t>
            </w:r>
          </w:p>
        </w:tc>
        <w:tc>
          <w:tcPr>
            <w:tcW w:w="30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BC91FD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决定同一时间的生产效率</w:t>
            </w:r>
          </w:p>
        </w:tc>
        <w:tc>
          <w:tcPr>
            <w:tcW w:w="4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B10765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5／10／20个并发任务每席位</w:t>
            </w:r>
          </w:p>
        </w:tc>
      </w:tr>
      <w:tr w14:paraId="622F2D81">
        <w:trPr>
          <w:jc w:val="center"/>
        </w:trPr>
        <w:tc>
          <w:tcPr>
            <w:tcW w:w="1655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304786">
            <w:pPr>
              <w:spacing w:after="0" w:line="276" w:lineRule="auto"/>
            </w:pPr>
            <w:r>
              <w:rPr>
                <w:rFonts w:ascii="Noto Sans SC" w:hAnsi="Noto Sans SC" w:eastAsia="Noto Sans SC"/>
                <w:b/>
                <w:color w:val="155EEF"/>
                <w:sz w:val="17"/>
              </w:rPr>
              <w:t>协同席位</w:t>
            </w:r>
          </w:p>
        </w:tc>
        <w:tc>
          <w:tcPr>
            <w:tcW w:w="3096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9D760F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决定可参与工作的成员数</w:t>
            </w:r>
          </w:p>
        </w:tc>
        <w:tc>
          <w:tcPr>
            <w:tcW w:w="460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2AE1A8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含基础席位，可加席位</w:t>
            </w:r>
          </w:p>
        </w:tc>
      </w:tr>
      <w:tr w14:paraId="37184FE4">
        <w:trPr>
          <w:jc w:val="center"/>
        </w:trPr>
        <w:tc>
          <w:tcPr>
            <w:tcW w:w="165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EB1304">
            <w:pPr>
              <w:spacing w:after="0" w:line="276" w:lineRule="auto"/>
            </w:pPr>
            <w:r>
              <w:rPr>
                <w:rFonts w:ascii="Noto Sans SC" w:hAnsi="Noto Sans SC" w:eastAsia="Noto Sans SC"/>
                <w:b/>
                <w:color w:val="155EEF"/>
                <w:sz w:val="17"/>
              </w:rPr>
              <w:t>资产与存储</w:t>
            </w:r>
          </w:p>
        </w:tc>
        <w:tc>
          <w:tcPr>
            <w:tcW w:w="30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BBCD7B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决定团队素材是否能统一管理</w:t>
            </w:r>
          </w:p>
        </w:tc>
        <w:tc>
          <w:tcPr>
            <w:tcW w:w="4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5981E9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统一品牌资产、200GB／500GB／3TB</w:t>
            </w:r>
          </w:p>
        </w:tc>
      </w:tr>
      <w:tr w14:paraId="684E2736">
        <w:trPr>
          <w:jc w:val="center"/>
        </w:trPr>
        <w:tc>
          <w:tcPr>
            <w:tcW w:w="1655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F0512F">
            <w:pPr>
              <w:spacing w:after="0" w:line="276" w:lineRule="auto"/>
            </w:pPr>
            <w:r>
              <w:rPr>
                <w:rFonts w:ascii="Noto Sans SC" w:hAnsi="Noto Sans SC" w:eastAsia="Noto Sans SC"/>
                <w:b/>
                <w:color w:val="155EEF"/>
                <w:sz w:val="17"/>
              </w:rPr>
              <w:t>服务保障</w:t>
            </w:r>
          </w:p>
        </w:tc>
        <w:tc>
          <w:tcPr>
            <w:tcW w:w="3096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61E808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决定企业使用风险</w:t>
            </w:r>
          </w:p>
        </w:tc>
        <w:tc>
          <w:tcPr>
            <w:tcW w:w="460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8ACDF2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用量看板、技术支持、专属服务</w:t>
            </w:r>
          </w:p>
        </w:tc>
      </w:tr>
    </w:tbl>
    <w:p w14:paraId="548AA371">
      <w:pPr>
        <w:pStyle w:val="4"/>
      </w:pPr>
      <w:r>
        <w:t>专业讲法</w:t>
      </w:r>
    </w:p>
    <w:p w14:paraId="7AD3C8E2">
      <w:pPr>
        <w:spacing w:after="120"/>
      </w:pPr>
      <w:r>
        <w:rPr>
          <w:rFonts w:ascii="Noto Sans SC" w:hAnsi="Noto Sans SC" w:eastAsia="Noto Sans SC"/>
          <w:b w:val="0"/>
        </w:rPr>
        <w:t>团队版采用“用量＋席位＋协作权益＋服务保障”的复合价值结构。用量解决能生产多少，席位解决谁能参与，协作权益解决资产如何沉淀，服务保障解决企业采购中的稳定性风险。四类价值不能只用积分一个变量承载。</w:t>
      </w:r>
    </w:p>
    <w:p w14:paraId="2411626C">
      <w:pPr>
        <w:pStyle w:val="4"/>
      </w:pPr>
      <w:r>
        <w:t>大白话解释</w:t>
      </w:r>
    </w:p>
    <w:p w14:paraId="2A953586">
      <w:pPr>
        <w:spacing w:after="120"/>
      </w:pPr>
      <w:r>
        <w:rPr>
          <w:rFonts w:ascii="Noto Sans SC" w:hAnsi="Noto Sans SC" w:eastAsia="Noto Sans SC"/>
          <w:b w:val="0"/>
        </w:rPr>
        <w:t>两家公司就算积分用得一样，一个只有两个人，另一个有十个人；一个只要生成，另一个还要统一素材和技术支持。团队版不能简单理解成“个人版积分更多”。</w:t>
      </w:r>
    </w:p>
    <w:p w14:paraId="0F3B5EE9">
      <w:pPr>
        <w:pStyle w:val="4"/>
      </w:pPr>
      <w:r>
        <w:t>为什么年付</w:t>
      </w:r>
    </w:p>
    <w:p w14:paraId="74041695">
      <w:pPr>
        <w:pStyle w:val="16"/>
        <w:spacing w:after="60"/>
      </w:pPr>
      <w:r>
        <w:rPr>
          <w:rFonts w:ascii="Noto Sans SC" w:hAnsi="Noto Sans SC" w:eastAsia="Noto Sans SC"/>
          <w:b w:val="0"/>
        </w:rPr>
        <w:t>企业采购与预算通常按年度规划，年付更符合采购习惯。</w:t>
      </w:r>
    </w:p>
    <w:p w14:paraId="3A75F7FA">
      <w:pPr>
        <w:pStyle w:val="16"/>
        <w:spacing w:after="60"/>
      </w:pPr>
      <w:r>
        <w:rPr>
          <w:rFonts w:ascii="Noto Sans SC" w:hAnsi="Noto Sans SC" w:eastAsia="Noto Sans SC"/>
          <w:b w:val="0"/>
        </w:rPr>
        <w:t>平台需要提前锁定收入和模型资源预算。</w:t>
      </w:r>
    </w:p>
    <w:p w14:paraId="7BDEAEEA">
      <w:pPr>
        <w:pStyle w:val="16"/>
        <w:spacing w:after="60"/>
      </w:pPr>
      <w:r>
        <w:rPr>
          <w:rFonts w:ascii="Noto Sans SC" w:hAnsi="Noto Sans SC" w:eastAsia="Noto Sans SC"/>
          <w:b w:val="0"/>
        </w:rPr>
        <w:t>团队资产、成员管理和服务权益具有持续性，不适合频繁月度切换。</w:t>
      </w:r>
    </w:p>
    <w:p w14:paraId="45EEF73E">
      <w:pPr>
        <w:pStyle w:val="16"/>
        <w:spacing w:after="60"/>
      </w:pPr>
      <w:r>
        <w:rPr>
          <w:rFonts w:ascii="Noto Sans SC" w:hAnsi="Noto Sans SC" w:eastAsia="Noto Sans SC"/>
          <w:b w:val="0"/>
        </w:rPr>
        <w:t>年付折扣可以形成价格锚点，但仍需通过真实转化与续费数据校准。</w:t>
      </w:r>
    </w:p>
    <w:p w14:paraId="2B78C892">
      <w:r>
        <w:br w:type="page"/>
      </w:r>
    </w:p>
    <w:p w14:paraId="68F52466">
      <w:pPr>
        <w:pStyle w:val="3"/>
      </w:pPr>
      <w:r>
        <w:t>七、上线验证与数据口径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944"/>
        <w:gridCol w:w="2232"/>
        <w:gridCol w:w="3744"/>
      </w:tblGrid>
      <w:tr w14:paraId="29B6C868">
        <w:trPr>
          <w:tblHeader/>
          <w:jc w:val="center"/>
        </w:trPr>
        <w:tc>
          <w:tcPr>
            <w:tcW w:w="1440" w:type="dxa"/>
            <w:shd w:val="clear" w:color="auto" w:fill="10151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E5DA11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漏斗阶段</w:t>
            </w:r>
          </w:p>
        </w:tc>
        <w:tc>
          <w:tcPr>
            <w:tcW w:w="1944" w:type="dxa"/>
            <w:shd w:val="clear" w:color="auto" w:fill="10151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5C6FD4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建议事件</w:t>
            </w:r>
          </w:p>
        </w:tc>
        <w:tc>
          <w:tcPr>
            <w:tcW w:w="2232" w:type="dxa"/>
            <w:shd w:val="clear" w:color="auto" w:fill="10151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72C62E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核心指标</w:t>
            </w:r>
          </w:p>
        </w:tc>
        <w:tc>
          <w:tcPr>
            <w:tcW w:w="3744" w:type="dxa"/>
            <w:shd w:val="clear" w:color="auto" w:fill="10151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002D07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如果异常，优先排查</w:t>
            </w:r>
          </w:p>
        </w:tc>
      </w:tr>
      <w:tr w14:paraId="5A73B7D7">
        <w:trPr>
          <w:jc w:val="center"/>
        </w:trPr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D09A65">
            <w:pPr>
              <w:spacing w:after="0" w:line="276" w:lineRule="auto"/>
            </w:pPr>
            <w:r>
              <w:rPr>
                <w:rFonts w:ascii="Noto Sans SC" w:hAnsi="Noto Sans SC" w:eastAsia="Noto Sans SC"/>
                <w:b/>
                <w:color w:val="155EEF"/>
                <w:sz w:val="17"/>
              </w:rPr>
              <w:t>付费墙曝光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9FE917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paywall_view</w:t>
            </w:r>
          </w:p>
        </w:tc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574334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触发人数、触发原因分布</w:t>
            </w:r>
          </w:p>
        </w:tc>
        <w:tc>
          <w:tcPr>
            <w:tcW w:w="37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186E1F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触发是否准确、文案是否匹配原因</w:t>
            </w:r>
          </w:p>
        </w:tc>
      </w:tr>
      <w:tr w14:paraId="6C2118B8">
        <w:trPr>
          <w:jc w:val="center"/>
        </w:trPr>
        <w:tc>
          <w:tcPr>
            <w:tcW w:w="144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FC11F4">
            <w:pPr>
              <w:spacing w:after="0" w:line="276" w:lineRule="auto"/>
            </w:pPr>
            <w:r>
              <w:rPr>
                <w:rFonts w:ascii="Noto Sans SC" w:hAnsi="Noto Sans SC" w:eastAsia="Noto Sans SC"/>
                <w:b/>
                <w:color w:val="155EEF"/>
                <w:sz w:val="17"/>
              </w:rPr>
              <w:t>商品点击</w:t>
            </w:r>
          </w:p>
        </w:tc>
        <w:tc>
          <w:tcPr>
            <w:tcW w:w="1944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71B428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sku_click</w:t>
            </w:r>
          </w:p>
        </w:tc>
        <w:tc>
          <w:tcPr>
            <w:tcW w:w="223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350258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CTR、档位偏好</w:t>
            </w:r>
          </w:p>
        </w:tc>
        <w:tc>
          <w:tcPr>
            <w:tcW w:w="3744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5AFF94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价格锚点、权益是否看懂</w:t>
            </w:r>
          </w:p>
        </w:tc>
      </w:tr>
      <w:tr w14:paraId="1DDAF42D">
        <w:trPr>
          <w:jc w:val="center"/>
        </w:trPr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D5B0DE">
            <w:pPr>
              <w:spacing w:after="0" w:line="276" w:lineRule="auto"/>
            </w:pPr>
            <w:r>
              <w:rPr>
                <w:rFonts w:ascii="Noto Sans SC" w:hAnsi="Noto Sans SC" w:eastAsia="Noto Sans SC"/>
                <w:b/>
                <w:color w:val="155EEF"/>
                <w:sz w:val="17"/>
              </w:rPr>
              <w:t>发起支付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DE222F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payment_create</w:t>
            </w:r>
          </w:p>
        </w:tc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899CC9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支付意愿率</w:t>
            </w:r>
          </w:p>
        </w:tc>
        <w:tc>
          <w:tcPr>
            <w:tcW w:w="37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507834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支付方式、登录与订单创建</w:t>
            </w:r>
          </w:p>
        </w:tc>
      </w:tr>
      <w:tr w14:paraId="6B1CB758">
        <w:trPr>
          <w:jc w:val="center"/>
        </w:trPr>
        <w:tc>
          <w:tcPr>
            <w:tcW w:w="144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AED5CD">
            <w:pPr>
              <w:spacing w:after="0" w:line="276" w:lineRule="auto"/>
            </w:pPr>
            <w:r>
              <w:rPr>
                <w:rFonts w:ascii="Noto Sans SC" w:hAnsi="Noto Sans SC" w:eastAsia="Noto Sans SC"/>
                <w:b/>
                <w:color w:val="155EEF"/>
                <w:sz w:val="17"/>
              </w:rPr>
              <w:t>支付成功</w:t>
            </w:r>
          </w:p>
        </w:tc>
        <w:tc>
          <w:tcPr>
            <w:tcW w:w="1944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935277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payment_success</w:t>
            </w:r>
          </w:p>
        </w:tc>
        <w:tc>
          <w:tcPr>
            <w:tcW w:w="223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CDA691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支付转化率、失败率</w:t>
            </w:r>
          </w:p>
        </w:tc>
        <w:tc>
          <w:tcPr>
            <w:tcW w:w="3744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2DCC41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回调、渠道失败、重复订单</w:t>
            </w:r>
          </w:p>
        </w:tc>
      </w:tr>
      <w:tr w14:paraId="23F6D59C">
        <w:trPr>
          <w:jc w:val="center"/>
        </w:trPr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5B036D">
            <w:pPr>
              <w:spacing w:after="0" w:line="276" w:lineRule="auto"/>
            </w:pPr>
            <w:r>
              <w:rPr>
                <w:rFonts w:ascii="Noto Sans SC" w:hAnsi="Noto Sans SC" w:eastAsia="Noto Sans SC"/>
                <w:b/>
                <w:color w:val="155EEF"/>
                <w:sz w:val="17"/>
              </w:rPr>
              <w:t>实际使用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F1469C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task_submit／settle</w:t>
            </w:r>
          </w:p>
        </w:tc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B880BE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首日使用率、成功率、退款率</w:t>
            </w:r>
          </w:p>
        </w:tc>
        <w:tc>
          <w:tcPr>
            <w:tcW w:w="37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8A614A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积分到账、任务稳定性、计费争议</w:t>
            </w:r>
          </w:p>
        </w:tc>
      </w:tr>
      <w:tr w14:paraId="0CF3B947">
        <w:trPr>
          <w:jc w:val="center"/>
        </w:trPr>
        <w:tc>
          <w:tcPr>
            <w:tcW w:w="144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978B86">
            <w:pPr>
              <w:spacing w:after="0" w:line="276" w:lineRule="auto"/>
            </w:pPr>
            <w:r>
              <w:rPr>
                <w:rFonts w:ascii="Noto Sans SC" w:hAnsi="Noto Sans SC" w:eastAsia="Noto Sans SC"/>
                <w:b/>
                <w:color w:val="155EEF"/>
                <w:sz w:val="17"/>
              </w:rPr>
              <w:t>复购升级</w:t>
            </w:r>
          </w:p>
        </w:tc>
        <w:tc>
          <w:tcPr>
            <w:tcW w:w="1944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E44F90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pack_buy／plan_upgrade</w:t>
            </w:r>
          </w:p>
        </w:tc>
        <w:tc>
          <w:tcPr>
            <w:tcW w:w="223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E64E1B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耗尽天数、复购率、升级率</w:t>
            </w:r>
          </w:p>
        </w:tc>
        <w:tc>
          <w:tcPr>
            <w:tcW w:w="3744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4EE465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套餐额度与真实使用是否匹配</w:t>
            </w:r>
          </w:p>
        </w:tc>
      </w:tr>
    </w:tbl>
    <w:p w14:paraId="0C74EDF4">
      <w:pPr>
        <w:pStyle w:val="4"/>
      </w:pPr>
      <w:r>
        <w:t>三组首轮实验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5"/>
        <w:gridCol w:w="2880"/>
        <w:gridCol w:w="2088"/>
        <w:gridCol w:w="2736"/>
      </w:tblGrid>
      <w:tr w14:paraId="388475C7">
        <w:trPr>
          <w:tblHeader/>
          <w:jc w:val="center"/>
        </w:trPr>
        <w:tc>
          <w:tcPr>
            <w:tcW w:w="1655" w:type="dxa"/>
            <w:shd w:val="clear" w:color="auto" w:fill="10151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5F29E3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实验</w:t>
            </w:r>
          </w:p>
        </w:tc>
        <w:tc>
          <w:tcPr>
            <w:tcW w:w="2880" w:type="dxa"/>
            <w:shd w:val="clear" w:color="auto" w:fill="10151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8BC026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变量</w:t>
            </w:r>
          </w:p>
        </w:tc>
        <w:tc>
          <w:tcPr>
            <w:tcW w:w="2088" w:type="dxa"/>
            <w:shd w:val="clear" w:color="auto" w:fill="10151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42422B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主指标</w:t>
            </w:r>
          </w:p>
        </w:tc>
        <w:tc>
          <w:tcPr>
            <w:tcW w:w="2736" w:type="dxa"/>
            <w:shd w:val="clear" w:color="auto" w:fill="10151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7AD7AD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决策逻辑</w:t>
            </w:r>
          </w:p>
        </w:tc>
      </w:tr>
      <w:tr w14:paraId="5B982ED6">
        <w:trPr>
          <w:jc w:val="center"/>
        </w:trPr>
        <w:tc>
          <w:tcPr>
            <w:tcW w:w="165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417C1A">
            <w:pPr>
              <w:spacing w:after="0" w:line="276" w:lineRule="auto"/>
            </w:pPr>
            <w:r>
              <w:rPr>
                <w:rFonts w:ascii="Noto Sans SC" w:hAnsi="Noto Sans SC" w:eastAsia="Noto Sans SC"/>
                <w:b/>
                <w:color w:val="155EEF"/>
                <w:sz w:val="17"/>
              </w:rPr>
              <w:t>价格锚点</w:t>
            </w:r>
          </w:p>
        </w:tc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E94C79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仅现价 vs 划线价＋折扣</w:t>
            </w:r>
          </w:p>
        </w:tc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F02622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支付成功率</w:t>
            </w:r>
          </w:p>
        </w:tc>
        <w:tc>
          <w:tcPr>
            <w:tcW w:w="27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633A4C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若提升且投诉不升，保留锚点</w:t>
            </w:r>
          </w:p>
        </w:tc>
      </w:tr>
      <w:tr w14:paraId="68A9083A">
        <w:trPr>
          <w:jc w:val="center"/>
        </w:trPr>
        <w:tc>
          <w:tcPr>
            <w:tcW w:w="1655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232DF5">
            <w:pPr>
              <w:spacing w:after="0" w:line="276" w:lineRule="auto"/>
            </w:pPr>
            <w:r>
              <w:rPr>
                <w:rFonts w:ascii="Noto Sans SC" w:hAnsi="Noto Sans SC" w:eastAsia="Noto Sans SC"/>
                <w:b/>
                <w:color w:val="155EEF"/>
                <w:sz w:val="17"/>
              </w:rPr>
              <w:t>权益表达</w:t>
            </w:r>
          </w:p>
        </w:tc>
        <w:tc>
          <w:tcPr>
            <w:tcW w:w="28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5B2807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仅积分 vs 积分＋约可生成量</w:t>
            </w:r>
          </w:p>
        </w:tc>
        <w:tc>
          <w:tcPr>
            <w:tcW w:w="208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0CEEFC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商品点击率、支付率</w:t>
            </w:r>
          </w:p>
        </w:tc>
        <w:tc>
          <w:tcPr>
            <w:tcW w:w="2736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3DC4A4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若理解和转化提升，统一使用产能表达</w:t>
            </w:r>
          </w:p>
        </w:tc>
      </w:tr>
      <w:tr w14:paraId="5044A79D">
        <w:trPr>
          <w:jc w:val="center"/>
        </w:trPr>
        <w:tc>
          <w:tcPr>
            <w:tcW w:w="165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F2B9CE">
            <w:pPr>
              <w:spacing w:after="0" w:line="276" w:lineRule="auto"/>
            </w:pPr>
            <w:r>
              <w:rPr>
                <w:rFonts w:ascii="Noto Sans SC" w:hAnsi="Noto Sans SC" w:eastAsia="Noto Sans SC"/>
                <w:b/>
                <w:color w:val="155EEF"/>
                <w:sz w:val="17"/>
              </w:rPr>
              <w:t>升级触发</w:t>
            </w:r>
          </w:p>
        </w:tc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8EB48C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积分不足／模型权限／并发上限</w:t>
            </w:r>
          </w:p>
        </w:tc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C6B58B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不同原因升级率</w:t>
            </w:r>
          </w:p>
        </w:tc>
        <w:tc>
          <w:tcPr>
            <w:tcW w:w="27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42157B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按原因配置不同文案与推荐套餐</w:t>
            </w:r>
          </w:p>
        </w:tc>
      </w:tr>
    </w:tbl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211EEA5">
        <w:trPr>
          <w:jc w:val="center"/>
        </w:trPr>
        <w:tc>
          <w:tcPr>
            <w:tcW w:w="9360" w:type="dxa"/>
            <w:shd w:val="clear" w:color="auto" w:fill="F4F6F9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3397988">
            <w:pPr>
              <w:spacing w:after="80"/>
            </w:pPr>
            <w:r>
              <w:rPr>
                <w:rFonts w:ascii="Noto Sans SC" w:hAnsi="Noto Sans SC" w:eastAsia="Noto Sans SC"/>
                <w:b/>
                <w:color w:val="155EEF"/>
                <w:sz w:val="18"/>
              </w:rPr>
              <w:t>不能只追求转化</w:t>
            </w:r>
          </w:p>
          <w:p w14:paraId="2FA51D3C">
            <w:pPr>
              <w:spacing w:after="0" w:line="300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20"/>
              </w:rPr>
              <w:t>任何实验都要同时看毛利区间、任务成功率、积分退款率、支付失败率和投诉率。转化上升但失败和投诉显著增加，方案仍然不能判定成功。</w:t>
            </w:r>
          </w:p>
        </w:tc>
      </w:tr>
    </w:tbl>
    <w:p w14:paraId="53DE6260">
      <w:pPr>
        <w:spacing w:after="20"/>
      </w:pPr>
    </w:p>
    <w:p w14:paraId="3EC622AC">
      <w:r>
        <w:br w:type="page"/>
      </w:r>
    </w:p>
    <w:p w14:paraId="0957443C">
      <w:pPr>
        <w:pStyle w:val="3"/>
      </w:pPr>
      <w:r>
        <w:t>八、高频追问与参考回答</w:t>
      </w:r>
    </w:p>
    <w:p w14:paraId="2E8139C0">
      <w:pPr>
        <w:pStyle w:val="4"/>
      </w:pPr>
      <w:r>
        <w:t>Q1：你在这个项目中的个人贡献到底是什么？</w:t>
      </w:r>
    </w:p>
    <w:p w14:paraId="280EC7CF">
      <w:pPr>
        <w:spacing w:after="160"/>
      </w:pPr>
      <w:r>
        <w:rPr>
          <w:rFonts w:ascii="Noto Sans SC" w:hAnsi="Noto Sans SC" w:eastAsia="Noto Sans SC"/>
          <w:b w:val="0"/>
        </w:rPr>
        <w:t>我主要负责商业化方案的产品设计，包括竞品框架、用户与商品分层、积分计费方法、个人版和团队版权益结构、支付及任务结算规则，并输出PRD、原型、定价表和FAQ。价格底线、技术实现与上线节奏需要和业务、研发、运营及销售共同确认，因此我会明确区分“我主导的方案”与“团队共同决策”。</w:t>
      </w:r>
    </w:p>
    <w:p w14:paraId="18C2B361">
      <w:pPr>
        <w:pStyle w:val="4"/>
      </w:pPr>
      <w:r>
        <w:t>Q2：为什么选择积分，而不是直接按人民币收费？</w:t>
      </w:r>
    </w:p>
    <w:p w14:paraId="3D02E766">
      <w:pPr>
        <w:spacing w:after="160"/>
      </w:pPr>
      <w:r>
        <w:rPr>
          <w:rFonts w:ascii="Noto Sans SC" w:hAnsi="Noto Sans SC" w:eastAsia="Noto Sans SC"/>
          <w:b w:val="0"/>
        </w:rPr>
        <w:t>因为平台接入多种模型，底层成本口径不一致且可能变化。积分可以隔离供应商成本波动，统一用户认知，并支持套餐赠送、补充包和运营活动。同时，积分不能成为黑盒，所以前台还要把积分翻译成大约可生成的内容量。</w:t>
      </w:r>
    </w:p>
    <w:p w14:paraId="4434B225">
      <w:pPr>
        <w:pStyle w:val="4"/>
      </w:pPr>
      <w:r>
        <w:t>Q3：你们的价格是怎么算出来的？</w:t>
      </w:r>
    </w:p>
    <w:p w14:paraId="6241FEF5">
      <w:pPr>
        <w:spacing w:after="160"/>
      </w:pPr>
      <w:r>
        <w:rPr>
          <w:rFonts w:ascii="Noto Sans SC" w:hAnsi="Noto Sans SC" w:eastAsia="Noto Sans SC"/>
          <w:b w:val="0"/>
        </w:rPr>
        <w:t>方法上分四步：统一底层成本口径、设置价值系数、形成积分单价、再根据目标用户的使用频次与权益组合形成套餐。作品集中的具体数值为脱敏展示，我更希望说明定价方法与约束，而不是披露真实成本。</w:t>
      </w:r>
    </w:p>
    <w:p w14:paraId="63BF08CA">
      <w:pPr>
        <w:pStyle w:val="4"/>
      </w:pPr>
      <w:r>
        <w:t>Q4：为什么个人版只有两档，团队版却有四档？</w:t>
      </w:r>
    </w:p>
    <w:p w14:paraId="4B7DCA5A">
      <w:pPr>
        <w:spacing w:after="160"/>
      </w:pPr>
      <w:r>
        <w:rPr>
          <w:rFonts w:ascii="Noto Sans SC" w:hAnsi="Noto Sans SC" w:eastAsia="Noto Sans SC"/>
          <w:b w:val="0"/>
        </w:rPr>
        <w:t>个人用户决策链短，过多档位会增加选择成本，两档可以清晰区分轻量与高频创作。团队客户在用量、人数、存储、并发和服务上差异更大，需要更多标准档，并保留企业定制兜底。</w:t>
      </w:r>
    </w:p>
    <w:p w14:paraId="5BF3B7F4">
      <w:pPr>
        <w:pStyle w:val="4"/>
      </w:pPr>
      <w:r>
        <w:t>Q5：为什么积分包只允许会员购买？</w:t>
      </w:r>
    </w:p>
    <w:p w14:paraId="6FCFBE59">
      <w:pPr>
        <w:spacing w:after="160"/>
      </w:pPr>
      <w:r>
        <w:rPr>
          <w:rFonts w:ascii="Noto Sans SC" w:hAnsi="Noto Sans SC" w:eastAsia="Noto Sans SC"/>
          <w:b w:val="0"/>
        </w:rPr>
        <w:t>积分包定位是订阅用户的临时扩容，不是独立商品。如果非会员也能长期购买积分包，可能绕开订阅，削弱收入稳定性和模型权限分层。后续可根据非会员付费需求测试一次性体验包，但要与正式补充包区隔。</w:t>
      </w:r>
    </w:p>
    <w:p w14:paraId="4C152F6D">
      <w:pPr>
        <w:pStyle w:val="4"/>
      </w:pPr>
      <w:r>
        <w:t>Q6：团队版为什么把席位和积分分开？</w:t>
      </w:r>
    </w:p>
    <w:p w14:paraId="79FAB31D">
      <w:pPr>
        <w:spacing w:after="160"/>
      </w:pPr>
      <w:r>
        <w:rPr>
          <w:rFonts w:ascii="Noto Sans SC" w:hAnsi="Noto Sans SC" w:eastAsia="Noto Sans SC"/>
          <w:b w:val="0"/>
        </w:rPr>
        <w:t>席位代表参与协作的人数，积分代表实际生成用量，两者不是同一件事。新增一个低频成员不一定意味着用量同比增加。如果完全捆绑，会让客户感觉为不用的积分付费，也不利于销售灵活报价。</w:t>
      </w:r>
    </w:p>
    <w:p w14:paraId="06250F63">
      <w:pPr>
        <w:pStyle w:val="4"/>
      </w:pPr>
      <w:r>
        <w:t>Q7：任务为什么要预扣积分？</w:t>
      </w:r>
    </w:p>
    <w:p w14:paraId="2C9F1405">
      <w:pPr>
        <w:spacing w:after="160"/>
      </w:pPr>
      <w:r>
        <w:rPr>
          <w:rFonts w:ascii="Noto Sans SC" w:hAnsi="Noto Sans SC" w:eastAsia="Noto Sans SC"/>
          <w:b w:val="0"/>
        </w:rPr>
        <w:t>生成任务有真实成本。如果先执行后扣费，余额不足时平台无法结算；预扣可以锁定预算。关键是失败、取消和超时必须自动退回，并通过幂等和账本保证不会重复扣退。</w:t>
      </w:r>
    </w:p>
    <w:p w14:paraId="21EE2D15">
      <w:pPr>
        <w:pStyle w:val="4"/>
      </w:pPr>
      <w:r>
        <w:t>Q8：如果模型供应商突然涨价怎么办？</w:t>
      </w:r>
    </w:p>
    <w:p w14:paraId="680CCCD2">
      <w:pPr>
        <w:spacing w:after="160"/>
      </w:pPr>
      <w:r>
        <w:rPr>
          <w:rFonts w:ascii="Noto Sans SC" w:hAnsi="Noto Sans SC" w:eastAsia="Noto Sans SC"/>
          <w:b w:val="0"/>
        </w:rPr>
        <w:t>前台积分不应立即跟随每次成本波动。后台通过模型、规格、价值系数和积分配置进行调整；先评估毛利影响，再决定只改新任务积分、调整套餐额度或切换供应商，同时保留版本和生效时间，避免影响进行中的订单。</w:t>
      </w:r>
    </w:p>
    <w:p w14:paraId="36D04813">
      <w:pPr>
        <w:pStyle w:val="4"/>
      </w:pPr>
      <w:r>
        <w:t>Q9：你怎么证明这个方案有效？</w:t>
      </w:r>
    </w:p>
    <w:p w14:paraId="4EC2DE1A">
      <w:pPr>
        <w:spacing w:after="160"/>
      </w:pPr>
      <w:r>
        <w:rPr>
          <w:rFonts w:ascii="Noto Sans SC" w:hAnsi="Noto Sans SC" w:eastAsia="Noto Sans SC"/>
          <w:b w:val="0"/>
        </w:rPr>
        <w:t>如果已经上线，我会提供真实漏斗与留存数据；如果尚未完整上线，就明确讲验证计划，不虚构结果。重点看支付转化、套餐偏好、首日使用、积分耗尽天数、复购升级，同时用毛利、任务成功率、退款率和投诉率做护栏。</w:t>
      </w:r>
    </w:p>
    <w:p w14:paraId="312A210C">
      <w:pPr>
        <w:pStyle w:val="4"/>
      </w:pPr>
      <w:r>
        <w:t>Q10：这个项目最大的不足是什么？</w:t>
      </w:r>
    </w:p>
    <w:p w14:paraId="5F5976AF">
      <w:pPr>
        <w:spacing w:after="160"/>
      </w:pPr>
      <w:r>
        <w:rPr>
          <w:rFonts w:ascii="Noto Sans SC" w:hAnsi="Noto Sans SC" w:eastAsia="Noto Sans SC"/>
          <w:b w:val="0"/>
        </w:rPr>
        <w:t>首版主要基于竞品、成本与业务假设形成，仍需要真实用户分层和价格敏感度数据验证。下一步我会补充分群实验、团队客户访谈、席位与用量拆分测试，并建立模型成本变动的自动预警和定价版本管理。</w:t>
      </w:r>
    </w:p>
    <w:p w14:paraId="0EFFE04F">
      <w:pPr>
        <w:pStyle w:val="4"/>
      </w:pPr>
      <w:r>
        <w:t>Q11：你调研近20个平台，会不会太泛？</w:t>
      </w:r>
    </w:p>
    <w:p w14:paraId="62643AD1">
      <w:pPr>
        <w:spacing w:after="160"/>
      </w:pPr>
      <w:r>
        <w:rPr>
          <w:rFonts w:ascii="Noto Sans SC" w:hAnsi="Noto Sans SC" w:eastAsia="Noto Sans SC"/>
          <w:b w:val="0"/>
        </w:rPr>
        <w:t>20个平台用于判断行业共性，不会全部做同等深度。我的方法是广度筛选、代表样本深挖：用即梦和可灵看生成规格计费，用Runway看积分与产能表达，用HeyGen看席位与用量，用CapCut和Pippit看团队协作与电商场景。</w:t>
      </w:r>
    </w:p>
    <w:p w14:paraId="4696FA29">
      <w:pPr>
        <w:pStyle w:val="4"/>
      </w:pPr>
      <w:r>
        <w:t>Q12：如果只能保留一个最有价值的设计，你选什么？</w:t>
      </w:r>
    </w:p>
    <w:p w14:paraId="1A7F4DAB">
      <w:pPr>
        <w:spacing w:after="160"/>
      </w:pPr>
      <w:r>
        <w:rPr>
          <w:rFonts w:ascii="Noto Sans SC" w:hAnsi="Noto Sans SC" w:eastAsia="Noto Sans SC"/>
          <w:b w:val="0"/>
        </w:rPr>
        <w:t>我会保留统一积分与可解释的任务结算体系。报价墙可以迭代，但如果底层计费不统一、任务失败不能正确退回、账务不可追溯，商业化就无法长期运行。</w:t>
      </w:r>
    </w:p>
    <w:p w14:paraId="55921A26">
      <w:r>
        <w:br w:type="page"/>
      </w:r>
    </w:p>
    <w:p w14:paraId="7ECD77EF">
      <w:pPr>
        <w:pStyle w:val="3"/>
      </w:pPr>
      <w:r>
        <w:t>九、面试表达中的风险边界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8"/>
        <w:gridCol w:w="4752"/>
      </w:tblGrid>
      <w:tr w14:paraId="0AF56597">
        <w:trPr>
          <w:tblHeader/>
          <w:jc w:val="center"/>
        </w:trPr>
        <w:tc>
          <w:tcPr>
            <w:tcW w:w="4608" w:type="dxa"/>
            <w:shd w:val="clear" w:color="auto" w:fill="10151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696FED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不要这样说</w:t>
            </w:r>
          </w:p>
        </w:tc>
        <w:tc>
          <w:tcPr>
            <w:tcW w:w="4752" w:type="dxa"/>
            <w:shd w:val="clear" w:color="auto" w:fill="10151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82B211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建议这样说</w:t>
            </w:r>
          </w:p>
        </w:tc>
      </w:tr>
      <w:tr w14:paraId="3861AD23">
        <w:trPr>
          <w:jc w:val="center"/>
        </w:trPr>
        <w:tc>
          <w:tcPr>
            <w:tcW w:w="4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3FD6C7">
            <w:pPr>
              <w:spacing w:after="0" w:line="276" w:lineRule="auto"/>
            </w:pPr>
            <w:r>
              <w:rPr>
                <w:rFonts w:ascii="Noto Sans SC" w:hAnsi="Noto Sans SC" w:eastAsia="Noto Sans SC"/>
                <w:b/>
                <w:color w:val="155EEF"/>
                <w:sz w:val="17"/>
              </w:rPr>
              <w:t>“我一个人从0到1完成了整个商业化系统。”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401005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“我主导产品方案与规则设计，并与研发、运营、销售共同推进。”</w:t>
            </w:r>
          </w:p>
        </w:tc>
      </w:tr>
      <w:tr w14:paraId="45C79B84">
        <w:trPr>
          <w:jc w:val="center"/>
        </w:trPr>
        <w:tc>
          <w:tcPr>
            <w:tcW w:w="460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E050A8">
            <w:pPr>
              <w:spacing w:after="0" w:line="276" w:lineRule="auto"/>
            </w:pPr>
            <w:r>
              <w:rPr>
                <w:rFonts w:ascii="Noto Sans SC" w:hAnsi="Noto Sans SC" w:eastAsia="Noto Sans SC"/>
                <w:b/>
                <w:color w:val="155EEF"/>
                <w:sz w:val="17"/>
              </w:rPr>
              <w:t>“调研20个平台后，我们就定了这个价格。”</w:t>
            </w:r>
          </w:p>
        </w:tc>
        <w:tc>
          <w:tcPr>
            <w:tcW w:w="475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1211FA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“调研用于建立行业参照，最终方案还结合自身成本、客群和使用频次。”</w:t>
            </w:r>
          </w:p>
        </w:tc>
      </w:tr>
      <w:tr w14:paraId="462477C6">
        <w:trPr>
          <w:jc w:val="center"/>
        </w:trPr>
        <w:tc>
          <w:tcPr>
            <w:tcW w:w="4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FFDF1C">
            <w:pPr>
              <w:spacing w:after="0" w:line="276" w:lineRule="auto"/>
            </w:pPr>
            <w:r>
              <w:rPr>
                <w:rFonts w:ascii="Noto Sans SC" w:hAnsi="Noto Sans SC" w:eastAsia="Noto Sans SC"/>
                <w:b/>
                <w:color w:val="155EEF"/>
                <w:sz w:val="17"/>
              </w:rPr>
              <w:t>“上线后转化率提升了30%。”（没有证据）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4E6E23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“当前作品集未披露真实结果，我提前定义了验证漏斗与实验方案。”</w:t>
            </w:r>
          </w:p>
        </w:tc>
      </w:tr>
      <w:tr w14:paraId="2C206E82">
        <w:trPr>
          <w:jc w:val="center"/>
        </w:trPr>
        <w:tc>
          <w:tcPr>
            <w:tcW w:w="460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AE103B">
            <w:pPr>
              <w:spacing w:after="0" w:line="276" w:lineRule="auto"/>
            </w:pPr>
            <w:r>
              <w:rPr>
                <w:rFonts w:ascii="Noto Sans SC" w:hAnsi="Noto Sans SC" w:eastAsia="Noto Sans SC"/>
                <w:b/>
                <w:color w:val="155EEF"/>
                <w:sz w:val="17"/>
              </w:rPr>
              <w:t>“积分就是成本乘毛利。”</w:t>
            </w:r>
          </w:p>
        </w:tc>
        <w:tc>
          <w:tcPr>
            <w:tcW w:w="475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24D025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“积分同时考虑成本、用户价值、规格差异与运营策略。”</w:t>
            </w:r>
          </w:p>
        </w:tc>
      </w:tr>
      <w:tr w14:paraId="707862D7">
        <w:trPr>
          <w:jc w:val="center"/>
        </w:trPr>
        <w:tc>
          <w:tcPr>
            <w:tcW w:w="4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4C6F12">
            <w:pPr>
              <w:spacing w:after="0" w:line="276" w:lineRule="auto"/>
            </w:pPr>
            <w:r>
              <w:rPr>
                <w:rFonts w:ascii="Noto Sans SC" w:hAnsi="Noto Sans SC" w:eastAsia="Noto Sans SC"/>
                <w:b/>
                <w:color w:val="155EEF"/>
                <w:sz w:val="17"/>
              </w:rPr>
              <w:t>“团队版就是个人版加积分。”</w:t>
            </w:r>
          </w:p>
        </w:tc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81C623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“团队版额外承接席位、资产、并发、管理和服务价值。”</w:t>
            </w:r>
          </w:p>
        </w:tc>
      </w:tr>
      <w:tr w14:paraId="23640346">
        <w:trPr>
          <w:jc w:val="center"/>
        </w:trPr>
        <w:tc>
          <w:tcPr>
            <w:tcW w:w="460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221FBA">
            <w:pPr>
              <w:spacing w:after="0" w:line="276" w:lineRule="auto"/>
            </w:pPr>
            <w:r>
              <w:rPr>
                <w:rFonts w:ascii="Noto Sans SC" w:hAnsi="Noto Sans SC" w:eastAsia="Noto Sans SC"/>
                <w:b/>
                <w:color w:val="155EEF"/>
                <w:sz w:val="17"/>
              </w:rPr>
              <w:t>直接解释真实供应商、成本和毛利</w:t>
            </w:r>
          </w:p>
        </w:tc>
        <w:tc>
          <w:tcPr>
            <w:tcW w:w="475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6C849E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说明材料已脱敏，只展示方法、结构和决策逻辑。</w:t>
            </w:r>
          </w:p>
        </w:tc>
      </w:tr>
    </w:tbl>
    <w:p w14:paraId="0856DD60">
      <w:pPr>
        <w:pStyle w:val="4"/>
      </w:pPr>
      <w:r>
        <w:t>遇到不确定问题时的答法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05E6E1F">
        <w:trPr>
          <w:jc w:val="center"/>
        </w:trPr>
        <w:tc>
          <w:tcPr>
            <w:tcW w:w="9360" w:type="dxa"/>
            <w:shd w:val="clear" w:color="auto" w:fill="EEF4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152537B">
            <w:pPr>
              <w:spacing w:after="80"/>
            </w:pPr>
            <w:r>
              <w:rPr>
                <w:rFonts w:ascii="Noto Sans SC" w:hAnsi="Noto Sans SC" w:eastAsia="Noto Sans SC"/>
                <w:b/>
                <w:color w:val="155EEF"/>
                <w:sz w:val="18"/>
              </w:rPr>
              <w:t>稳妥句式</w:t>
            </w:r>
          </w:p>
          <w:p w14:paraId="3773E1B5">
            <w:pPr>
              <w:spacing w:after="0" w:line="300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20"/>
              </w:rPr>
              <w:t>“这个数据在作品集中做了脱敏，我不方便披露真实值，但我可以具体讲当时的判断框架、参与范围和验证方式。”</w:t>
            </w:r>
          </w:p>
        </w:tc>
      </w:tr>
    </w:tbl>
    <w:p w14:paraId="5D03730B">
      <w:pPr>
        <w:spacing w:after="20"/>
      </w:pP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CB2E73A">
        <w:trPr>
          <w:jc w:val="center"/>
        </w:trPr>
        <w:tc>
          <w:tcPr>
            <w:tcW w:w="9360" w:type="dxa"/>
            <w:shd w:val="clear" w:color="auto" w:fill="F4F8F5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DB9E6E2">
            <w:pPr>
              <w:spacing w:after="80"/>
            </w:pPr>
            <w:r>
              <w:rPr>
                <w:rFonts w:ascii="Noto Sans SC" w:hAnsi="Noto Sans SC" w:eastAsia="Noto Sans SC"/>
                <w:b/>
                <w:color w:val="13A8A8"/>
                <w:sz w:val="18"/>
              </w:rPr>
              <w:t>没有结果时</w:t>
            </w:r>
          </w:p>
          <w:p w14:paraId="40D0EA65">
            <w:pPr>
              <w:spacing w:after="0" w:line="300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20"/>
              </w:rPr>
              <w:t>“这一阶段主要完成方案与落地规则设计，真实转化还需要上线数据验证，所以我不会把预期值当成实际结果。”</w:t>
            </w:r>
          </w:p>
        </w:tc>
      </w:tr>
    </w:tbl>
    <w:p w14:paraId="51555AD7">
      <w:pPr>
        <w:spacing w:after="20"/>
      </w:pPr>
    </w:p>
    <w:p w14:paraId="1E6FA0D5">
      <w:r>
        <w:br w:type="page"/>
      </w:r>
    </w:p>
    <w:p w14:paraId="0FED2B04">
      <w:pPr>
        <w:pStyle w:val="3"/>
      </w:pPr>
      <w:r>
        <w:t>十、面试前一页速记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7128"/>
      </w:tblGrid>
      <w:tr w14:paraId="1E57706D">
        <w:trPr>
          <w:tblHeader/>
          <w:jc w:val="center"/>
        </w:trPr>
        <w:tc>
          <w:tcPr>
            <w:tcW w:w="2232" w:type="dxa"/>
            <w:shd w:val="clear" w:color="auto" w:fill="10151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3622DF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必须记住</w:t>
            </w:r>
          </w:p>
        </w:tc>
        <w:tc>
          <w:tcPr>
            <w:tcW w:w="7128" w:type="dxa"/>
            <w:shd w:val="clear" w:color="auto" w:fill="10151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6E1A72"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你的答案</w:t>
            </w:r>
          </w:p>
        </w:tc>
      </w:tr>
      <w:tr w14:paraId="15ADE85E">
        <w:trPr>
          <w:jc w:val="center"/>
        </w:trPr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748A5F">
            <w:pPr>
              <w:spacing w:after="0" w:line="276" w:lineRule="auto"/>
            </w:pPr>
            <w:r>
              <w:rPr>
                <w:rFonts w:ascii="Noto Sans SC" w:hAnsi="Noto Sans SC" w:eastAsia="Noto Sans SC"/>
                <w:b/>
                <w:color w:val="155EEF"/>
                <w:sz w:val="17"/>
              </w:rPr>
              <w:t>一句话目标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1EB58A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把多模型生成能力变成可售卖、可结算、可迭代的产品</w:t>
            </w:r>
          </w:p>
        </w:tc>
      </w:tr>
      <w:tr w14:paraId="14F6A5AE">
        <w:trPr>
          <w:jc w:val="center"/>
        </w:trPr>
        <w:tc>
          <w:tcPr>
            <w:tcW w:w="223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57D25E">
            <w:pPr>
              <w:spacing w:after="0" w:line="276" w:lineRule="auto"/>
            </w:pPr>
            <w:r>
              <w:rPr>
                <w:rFonts w:ascii="Noto Sans SC" w:hAnsi="Noto Sans SC" w:eastAsia="Noto Sans SC"/>
                <w:b/>
                <w:color w:val="155EEF"/>
                <w:sz w:val="17"/>
              </w:rPr>
              <w:t>核心矛盾</w:t>
            </w:r>
          </w:p>
        </w:tc>
        <w:tc>
          <w:tcPr>
            <w:tcW w:w="712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79D49F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供应商成本语言复杂，用户需要可预期内容产能</w:t>
            </w:r>
          </w:p>
        </w:tc>
      </w:tr>
      <w:tr w14:paraId="0CD9990C">
        <w:trPr>
          <w:jc w:val="center"/>
        </w:trPr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FAE71F">
            <w:pPr>
              <w:spacing w:after="0" w:line="276" w:lineRule="auto"/>
            </w:pPr>
            <w:r>
              <w:rPr>
                <w:rFonts w:ascii="Noto Sans SC" w:hAnsi="Noto Sans SC" w:eastAsia="Noto Sans SC"/>
                <w:b/>
                <w:color w:val="155EEF"/>
                <w:sz w:val="17"/>
              </w:rPr>
              <w:t>研究方法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B73799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近20个平台广度筛选，6个代表样本深挖</w:t>
            </w:r>
          </w:p>
        </w:tc>
      </w:tr>
      <w:tr w14:paraId="0E42A44D">
        <w:trPr>
          <w:jc w:val="center"/>
        </w:trPr>
        <w:tc>
          <w:tcPr>
            <w:tcW w:w="223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E496EC">
            <w:pPr>
              <w:spacing w:after="0" w:line="276" w:lineRule="auto"/>
            </w:pPr>
            <w:r>
              <w:rPr>
                <w:rFonts w:ascii="Noto Sans SC" w:hAnsi="Noto Sans SC" w:eastAsia="Noto Sans SC"/>
                <w:b/>
                <w:color w:val="155EEF"/>
                <w:sz w:val="17"/>
              </w:rPr>
              <w:t>商品结构</w:t>
            </w:r>
          </w:p>
        </w:tc>
        <w:tc>
          <w:tcPr>
            <w:tcW w:w="712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1C249B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个人订阅＋团队年付＋积分补充包＋企业定制</w:t>
            </w:r>
          </w:p>
        </w:tc>
      </w:tr>
      <w:tr w14:paraId="150D6032">
        <w:trPr>
          <w:jc w:val="center"/>
        </w:trPr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2A4383">
            <w:pPr>
              <w:spacing w:after="0" w:line="276" w:lineRule="auto"/>
            </w:pPr>
            <w:r>
              <w:rPr>
                <w:rFonts w:ascii="Noto Sans SC" w:hAnsi="Noto Sans SC" w:eastAsia="Noto Sans SC"/>
                <w:b/>
                <w:color w:val="155EEF"/>
                <w:sz w:val="17"/>
              </w:rPr>
              <w:t>定价逻辑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663427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成本归一化×价值系数→整数积分→套餐与产能表达</w:t>
            </w:r>
          </w:p>
        </w:tc>
      </w:tr>
      <w:tr w14:paraId="283DA75A">
        <w:trPr>
          <w:jc w:val="center"/>
        </w:trPr>
        <w:tc>
          <w:tcPr>
            <w:tcW w:w="223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C00599">
            <w:pPr>
              <w:spacing w:after="0" w:line="276" w:lineRule="auto"/>
            </w:pPr>
            <w:r>
              <w:rPr>
                <w:rFonts w:ascii="Noto Sans SC" w:hAnsi="Noto Sans SC" w:eastAsia="Noto Sans SC"/>
                <w:b/>
                <w:color w:val="155EEF"/>
                <w:sz w:val="17"/>
              </w:rPr>
              <w:t>计费链路</w:t>
            </w:r>
          </w:p>
        </w:tc>
        <w:tc>
          <w:tcPr>
            <w:tcW w:w="712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5C7C53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试算→校验→预扣→执行→结算／失败退回</w:t>
            </w:r>
          </w:p>
        </w:tc>
      </w:tr>
      <w:tr w14:paraId="3448F889">
        <w:trPr>
          <w:jc w:val="center"/>
        </w:trPr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659BB4">
            <w:pPr>
              <w:spacing w:after="0" w:line="276" w:lineRule="auto"/>
            </w:pPr>
            <w:r>
              <w:rPr>
                <w:rFonts w:ascii="Noto Sans SC" w:hAnsi="Noto Sans SC" w:eastAsia="Noto Sans SC"/>
                <w:b/>
                <w:color w:val="155EEF"/>
                <w:sz w:val="17"/>
              </w:rPr>
              <w:t>验证漏斗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8B1E24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曝光→点击→发起支付→支付成功→使用→复购升级</w:t>
            </w:r>
          </w:p>
        </w:tc>
      </w:tr>
      <w:tr w14:paraId="77DB2B31">
        <w:trPr>
          <w:jc w:val="center"/>
        </w:trPr>
        <w:tc>
          <w:tcPr>
            <w:tcW w:w="223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B0BE74">
            <w:pPr>
              <w:spacing w:after="0" w:line="276" w:lineRule="auto"/>
            </w:pPr>
            <w:r>
              <w:rPr>
                <w:rFonts w:ascii="Noto Sans SC" w:hAnsi="Noto Sans SC" w:eastAsia="Noto Sans SC"/>
                <w:b/>
                <w:color w:val="155EEF"/>
                <w:sz w:val="17"/>
              </w:rPr>
              <w:t>护栏指标</w:t>
            </w:r>
          </w:p>
        </w:tc>
        <w:tc>
          <w:tcPr>
            <w:tcW w:w="712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367489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毛利、任务成功率、积分退款率、支付失败率、投诉率</w:t>
            </w:r>
          </w:p>
        </w:tc>
      </w:tr>
      <w:tr w14:paraId="1E682C30">
        <w:trPr>
          <w:jc w:val="center"/>
        </w:trPr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A5916A">
            <w:pPr>
              <w:spacing w:after="0" w:line="276" w:lineRule="auto"/>
            </w:pPr>
            <w:r>
              <w:rPr>
                <w:rFonts w:ascii="Noto Sans SC" w:hAnsi="Noto Sans SC" w:eastAsia="Noto Sans SC"/>
                <w:b/>
                <w:color w:val="155EEF"/>
                <w:sz w:val="17"/>
              </w:rPr>
              <w:t>个人贡献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F2D09C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竞品、商品分层、积分计费、支付结算规则、PRD与原型</w:t>
            </w:r>
          </w:p>
        </w:tc>
      </w:tr>
      <w:tr w14:paraId="19A88D50">
        <w:trPr>
          <w:jc w:val="center"/>
        </w:trPr>
        <w:tc>
          <w:tcPr>
            <w:tcW w:w="223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92ABF1">
            <w:pPr>
              <w:spacing w:after="0" w:line="276" w:lineRule="auto"/>
            </w:pPr>
            <w:r>
              <w:rPr>
                <w:rFonts w:ascii="Noto Sans SC" w:hAnsi="Noto Sans SC" w:eastAsia="Noto Sans SC"/>
                <w:b/>
                <w:color w:val="155EEF"/>
                <w:sz w:val="17"/>
              </w:rPr>
              <w:t>最大复盘</w:t>
            </w:r>
          </w:p>
        </w:tc>
        <w:tc>
          <w:tcPr>
            <w:tcW w:w="712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A7EAFB">
            <w:pPr>
              <w:spacing w:after="0" w:line="276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17"/>
              </w:rPr>
              <w:t>价格持续校准；席位与用量分开；计费规则后台可配置</w:t>
            </w:r>
          </w:p>
        </w:tc>
      </w:tr>
    </w:tbl>
    <w:p w14:paraId="5A66BF88">
      <w:pPr>
        <w:pStyle w:val="4"/>
      </w:pPr>
      <w:r>
        <w:t>30秒收尾句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E9FC19E">
        <w:trPr>
          <w:jc w:val="center"/>
        </w:trPr>
        <w:tc>
          <w:tcPr>
            <w:tcW w:w="9360" w:type="dxa"/>
            <w:shd w:val="clear" w:color="auto" w:fill="EEF4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C8F8A1E">
            <w:pPr>
              <w:spacing w:after="80"/>
            </w:pPr>
            <w:r>
              <w:rPr>
                <w:rFonts w:ascii="Noto Sans SC" w:hAnsi="Noto Sans SC" w:eastAsia="Noto Sans SC"/>
                <w:b/>
                <w:color w:val="155EEF"/>
                <w:sz w:val="18"/>
              </w:rPr>
              <w:t>可直接使用</w:t>
            </w:r>
          </w:p>
          <w:p w14:paraId="3DCA6BC6">
            <w:pPr>
              <w:spacing w:after="0" w:line="300" w:lineRule="auto"/>
            </w:pPr>
            <w:r>
              <w:rPr>
                <w:rFonts w:ascii="Noto Sans SC" w:hAnsi="Noto Sans SC" w:eastAsia="Noto Sans SC"/>
                <w:b w:val="0"/>
                <w:color w:val="10151D"/>
                <w:sz w:val="20"/>
              </w:rPr>
              <w:t>这个项目让我建立了比较完整的 AI 商业化思维：不是先画付费墙，而是先统一模型成本与用户价值，再通过商品分层、交易结算和数据验证形成闭环。我希望在下一份 AI 产品经理工作中，继续把模型能力转化为用户真正愿意付费、业务能够持续增长的产品。</w:t>
            </w:r>
          </w:p>
        </w:tc>
      </w:tr>
    </w:tbl>
    <w:p w14:paraId="5574FADE">
      <w:pPr>
        <w:spacing w:after="20"/>
      </w:pPr>
    </w:p>
    <w:p w14:paraId="5BBAA22A">
      <w:pPr>
        <w:pStyle w:val="4"/>
      </w:pPr>
      <w:r>
        <w:t>最终自检</w:t>
      </w:r>
    </w:p>
    <w:p w14:paraId="12810655">
      <w:pPr>
        <w:pStyle w:val="16"/>
        <w:spacing w:after="60"/>
      </w:pPr>
      <w:r>
        <w:rPr>
          <w:rFonts w:ascii="Noto Sans SC" w:hAnsi="Noto Sans SC" w:eastAsia="Noto Sans SC"/>
          <w:b w:val="0"/>
        </w:rPr>
        <w:t>能否不看稿讲清楚“背景—难点—方案—验证—复盘”？</w:t>
      </w:r>
    </w:p>
    <w:p w14:paraId="42FF5E5A">
      <w:pPr>
        <w:pStyle w:val="16"/>
        <w:spacing w:after="60"/>
      </w:pPr>
      <w:r>
        <w:rPr>
          <w:rFonts w:ascii="Noto Sans SC" w:hAnsi="Noto Sans SC" w:eastAsia="Noto Sans SC"/>
          <w:b w:val="0"/>
        </w:rPr>
        <w:t>能否解释为什么需要积分，而不是只说竞品都这样做？</w:t>
      </w:r>
    </w:p>
    <w:p w14:paraId="5A591A5A">
      <w:pPr>
        <w:pStyle w:val="16"/>
        <w:spacing w:after="60"/>
      </w:pPr>
      <w:r>
        <w:rPr>
          <w:rFonts w:ascii="Noto Sans SC" w:hAnsi="Noto Sans SC" w:eastAsia="Noto Sans SC"/>
          <w:b w:val="0"/>
        </w:rPr>
        <w:t>能否讲清个人版与团队版的本质差异？</w:t>
      </w:r>
    </w:p>
    <w:p w14:paraId="10BB7608">
      <w:pPr>
        <w:pStyle w:val="16"/>
        <w:spacing w:after="60"/>
      </w:pPr>
      <w:r>
        <w:rPr>
          <w:rFonts w:ascii="Noto Sans SC" w:hAnsi="Noto Sans SC" w:eastAsia="Noto Sans SC"/>
          <w:b w:val="0"/>
        </w:rPr>
        <w:t>能否诚实区分实际结果、脱敏数据和验证计划？</w:t>
      </w:r>
    </w:p>
    <w:p w14:paraId="09D6753A">
      <w:pPr>
        <w:pStyle w:val="16"/>
        <w:spacing w:after="60"/>
      </w:pPr>
      <w:r>
        <w:rPr>
          <w:rFonts w:ascii="Noto Sans SC" w:hAnsi="Noto Sans SC" w:eastAsia="Noto Sans SC"/>
          <w:b w:val="0"/>
        </w:rPr>
        <w:t>能否说清自己的贡献边界和跨团队协作？</w:t>
      </w:r>
    </w:p>
    <w:sectPr>
      <w:headerReference r:id="rId5" w:type="default"/>
      <w:footerReference r:id="rId6" w:type="default"/>
      <w:pgSz w:w="12240" w:h="15840"/>
      <w:pgMar w:top="1123" w:right="1267" w:bottom="1123" w:left="1267" w:header="605" w:footer="60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01383C">
    <w:pPr>
      <w:pStyle w:val="24"/>
      <w:jc w:val="right"/>
    </w:pPr>
    <w:r>
      <w:rPr>
        <w:rFonts w:ascii="Noto Sans SC" w:hAnsi="Noto Sans SC" w:eastAsia="Noto Sans SC"/>
        <w:b w:val="0"/>
        <w:color w:val="667385"/>
        <w:sz w:val="16"/>
      </w:rPr>
      <w:t>陈嘉仪｜商业化项目讲稿与复盘手册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87D533">
    <w:pPr>
      <w:pStyle w:val="25"/>
      <w:jc w:val="left"/>
    </w:pPr>
    <w:r>
      <w:rPr>
        <w:rFonts w:ascii="Noto Sans SC" w:hAnsi="Noto Sans SC" w:eastAsia="Noto Sans SC"/>
        <w:b/>
        <w:color w:val="667385"/>
        <w:sz w:val="17"/>
      </w:rPr>
      <w:t>MINDSYNC · AI产品经理面试准备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FC1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Noto Sans SC" w:hAnsi="Noto Sans SC" w:eastAsia="Noto Sans SC" w:cstheme="minorBidi"/>
      <w:color w:val="10151D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155EE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155EEF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0151D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300" w:lineRule="auto"/>
      <w:ind w:left="547" w:hanging="259"/>
      <w:contextualSpacing/>
    </w:pPr>
    <w:rPr>
      <w:rFonts w:ascii="Noto Sans SC" w:hAnsi="Noto Sans SC" w:eastAsia="Noto Sans SC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300" w:lineRule="auto"/>
      <w:ind w:left="547" w:hanging="259"/>
      <w:contextualSpacing/>
    </w:pPr>
    <w:rPr>
      <w:rFonts w:ascii="Noto Sans SC" w:hAnsi="Noto Sans SC" w:eastAsia="Noto Sans SC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陈嘉仪</dc:creator>
  <dc:description>generated by python-docx</dc:description>
  <cp:keywords>AI产品经理, 商业化, 积分定价, 团队版, 面试</cp:keywords>
  <cp:lastModifiedBy>微信用户</cp:lastModifiedBy>
  <dcterms:modified xsi:type="dcterms:W3CDTF">2026-08-09T15:27:01Z</dcterms:modified>
  <dc:subject>AI产品经理秋招作品集面试准备</dc:subject>
  <dc:title>MindSync商业化项目：面试讲稿与复盘手册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3C1FEA8B49C800E5C52B786A91E7FB24_42</vt:lpwstr>
  </property>
</Properties>
</file>