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b/>
          <w:color w:val="1A365D"/>
          <w:sz w:val="44"/>
        </w:rPr>
        <w:t>आरोग्यमित्र  |  AarogyaMitra</w:t>
        <w:br/>
      </w:r>
      <w:r>
        <w:rPr>
          <w:rFonts w:ascii="Calibri" w:hAnsi="Calibri"/>
          <w:b/>
          <w:color w:val="2B6CB0"/>
          <w:sz w:val="26"/>
        </w:rPr>
        <w:t>Project Motivation, Evolution &amp; Architectural Pipeline Demo Script</w:t>
        <w:br/>
      </w:r>
      <w:r>
        <w:rPr>
          <w:rFonts w:ascii="Calibri" w:hAnsi="Calibri"/>
          <w:i/>
          <w:color w:val="718096"/>
          <w:sz w:val="19"/>
        </w:rPr>
        <w:t>Comprehensive Engineering Walkthrough &amp; PPT Video Narration Guide  •  October 2026</w:t>
      </w:r>
    </w:p>
    <w:p>
      <w:pPr>
        <w:spacing w:after="160"/>
      </w:pPr>
    </w:p>
    <w:tbl>
      <w:tblPr>
        <w:tblW w:type="auto" w:w="0"/>
        <w:jc w:val="center"/>
        <w:tblLook w:firstColumn="1" w:firstRow="1" w:lastColumn="0" w:lastRow="0" w:noHBand="0" w:noVBand="1" w:val="04A0"/>
      </w:tblPr>
      <w:tblGrid>
        <w:gridCol w:w="9360"/>
      </w:tblGrid>
      <w:tr>
        <w:tc>
          <w:tcPr>
            <w:tcW w:type="dxa" w:w="9360"/>
            <w:shd w:fill="F0F4F8"/>
            <w:tcMar>
              <w:top w:w="140" w:type="dxa"/>
              <w:bottom w:w="140" w:type="dxa"/>
              <w:left w:w="200" w:type="dxa"/>
              <w:right w:w="200" w:type="dxa"/>
            </w:tcMar>
            <w:tcBorders>
              <w:top w:val="none"/>
              <w:left w:val="single" w:sz="24" w:space="0" w:color="1A365D"/>
              <w:bottom w:val="none"/>
              <w:right w:val="none"/>
            </w:tcBorders>
          </w:tcPr>
          <w:p>
            <w:pPr>
              <w:spacing w:before="40" w:after="80"/>
            </w:pPr>
            <w:r>
              <w:rPr>
                <w:rFonts w:ascii="Calibri" w:hAnsi="Calibri"/>
                <w:b/>
                <w:color w:val="1A365D"/>
                <w:sz w:val="20"/>
              </w:rPr>
              <w:t>📌 EXECUTIVE ARCHITECTURE BRIEF</w:t>
              <w:br/>
            </w:r>
            <w:r>
              <w:rPr>
                <w:rFonts w:ascii="Calibri" w:hAnsi="Calibri"/>
                <w:i/>
                <w:color w:val="2D3748"/>
                <w:sz w:val="19"/>
              </w:rPr>
              <w:t>AarogyaMitra is an edge-native, multilingual AI healthcare platform architected for rural and semi-urban India. It combines 22 Indic language conversational NLP, multimodal medical vision OCR, sub-150ms ModernBERT intent routing, hybrid spatial facility discovery (Ola Maps + OSM), ICMR clinical protocols, Qdrant RAG over PM-JAY schemes, and zero-cost telemedicine gateways (104 Helpline &amp; eSanjeevani).</w:t>
            </w:r>
          </w:p>
        </w:tc>
      </w:tr>
    </w:tbl>
    <w:p>
      <w:pPr>
        <w:spacing w:after="120"/>
      </w:pPr>
    </w:p>
    <w:p>
      <w:pPr>
        <w:pStyle w:val="Heading1"/>
        <w:keepNext/>
        <w:spacing w:before="320" w:after="120"/>
      </w:pPr>
      <w:r>
        <w:rPr>
          <w:rFonts w:ascii="Calibri" w:hAnsi="Calibri"/>
          <w:b/>
          <w:color w:val="1A365D"/>
          <w:sz w:val="32"/>
        </w:rPr>
        <w:t>Part 1: Project Motivation, Core Idea &amp; Evolution</w:t>
      </w:r>
    </w:p>
    <w:p>
      <w:pPr>
        <w:pStyle w:val="Heading2"/>
        <w:keepNext/>
        <w:spacing w:before="240" w:after="80"/>
      </w:pPr>
      <w:r>
        <w:rPr>
          <w:rFonts w:ascii="Calibri" w:hAnsi="Calibri"/>
          <w:b/>
          <w:color w:val="2B6CB0"/>
          <w:sz w:val="26"/>
        </w:rPr>
        <w:t>1.1 The Ground Reality &amp; Motivation</w:t>
      </w:r>
    </w:p>
    <w:p>
      <w:pPr>
        <w:spacing w:before="0" w:after="120" w:line="276" w:lineRule="auto"/>
      </w:pPr>
      <w:r>
        <w:rPr>
          <w:rFonts w:ascii="Calibri" w:hAnsi="Calibri"/>
          <w:color w:val="2D3748"/>
          <w:sz w:val="20"/>
        </w:rPr>
        <w:t>In rural and Tier-2/3 India, accessing timely, certified healthcare is often a race against physical distance, extreme doctor shortages, and language barriers. According to official data published in the Ministry of Health and Family Welfare (MoHFW) 'Health Dynamics of India' report, rural regions face an alarming 80% shortfall in Community Health Centres (CHCs) and specialized doctors.</w:t>
      </w:r>
    </w:p>
    <w:p>
      <w:pPr>
        <w:spacing w:before="0" w:after="120" w:line="276" w:lineRule="auto"/>
      </w:pPr>
      <w:r>
        <w:rPr>
          <w:rFonts w:ascii="Calibri" w:hAnsi="Calibri"/>
          <w:color w:val="2D3748"/>
          <w:sz w:val="20"/>
        </w:rPr>
        <w:t>Key Bottlenecks in the Rural Healthcare Ecosystem:</w:t>
      </w:r>
    </w:p>
    <w:p>
      <w:pPr>
        <w:pStyle w:val="ListBullet"/>
        <w:spacing w:before="0" w:after="60" w:line="276" w:lineRule="auto"/>
      </w:pPr>
      <w:r>
        <w:rPr>
          <w:rFonts w:ascii="Calibri" w:hAnsi="Calibri"/>
          <w:b/>
          <w:color w:val="1A365D"/>
          <w:sz w:val="20"/>
        </w:rPr>
        <w:t xml:space="preserve">• Doctor-to-Patient Deficit: </w:t>
      </w:r>
      <w:r>
        <w:rPr>
          <w:rFonts w:ascii="Calibri" w:hAnsi="Calibri"/>
          <w:color w:val="2D3748"/>
          <w:sz w:val="20"/>
        </w:rPr>
        <w:t>District civil hospitals and Primary Health Centres (PHCs) are overwhelmed with patients travelling 20–50 km over unpaved roads for basic preliminary triage.</w:t>
      </w:r>
    </w:p>
    <w:p>
      <w:pPr>
        <w:pStyle w:val="ListBullet"/>
        <w:spacing w:before="0" w:after="60" w:line="276" w:lineRule="auto"/>
      </w:pPr>
      <w:r>
        <w:rPr>
          <w:rFonts w:ascii="Calibri" w:hAnsi="Calibri"/>
          <w:b/>
          <w:color w:val="1A365D"/>
          <w:sz w:val="20"/>
        </w:rPr>
        <w:t xml:space="preserve">• Critical Triage Delays: </w:t>
      </w:r>
      <w:r>
        <w:rPr>
          <w:rFonts w:ascii="Calibri" w:hAnsi="Calibri"/>
          <w:color w:val="2D3748"/>
          <w:sz w:val="20"/>
        </w:rPr>
        <w:t>Patients often wait 4 to 8 hours simply to find out which department they need to visit or whether their condition is an emergency.</w:t>
      </w:r>
    </w:p>
    <w:p>
      <w:pPr>
        <w:pStyle w:val="ListBullet"/>
        <w:spacing w:before="0" w:after="60" w:line="276" w:lineRule="auto"/>
      </w:pPr>
      <w:r>
        <w:rPr>
          <w:rFonts w:ascii="Calibri" w:hAnsi="Calibri"/>
          <w:b/>
          <w:color w:val="1A365D"/>
          <w:sz w:val="20"/>
        </w:rPr>
        <w:t xml:space="preserve">• Linguistic Alienation: </w:t>
      </w:r>
      <w:r>
        <w:rPr>
          <w:rFonts w:ascii="Calibri" w:hAnsi="Calibri"/>
          <w:color w:val="2D3748"/>
          <w:sz w:val="20"/>
        </w:rPr>
        <w:t>Most commercial health portals are English-centric and form-heavy, completely alienating non-literate citizens and rural community ASHA workers.</w:t>
      </w:r>
    </w:p>
    <w:p>
      <w:pPr>
        <w:pStyle w:val="ListBullet"/>
        <w:spacing w:before="0" w:after="60" w:line="276" w:lineRule="auto"/>
      </w:pPr>
      <w:r>
        <w:rPr>
          <w:rFonts w:ascii="Calibri" w:hAnsi="Calibri"/>
          <w:b/>
          <w:color w:val="1A365D"/>
          <w:sz w:val="20"/>
        </w:rPr>
        <w:t xml:space="preserve">• Information Asymmetry: </w:t>
      </w:r>
      <w:r>
        <w:rPr>
          <w:rFonts w:ascii="Calibri" w:hAnsi="Calibri"/>
          <w:color w:val="2D3748"/>
          <w:sz w:val="20"/>
        </w:rPr>
        <w:t>Millions of eligible BPL (Below Poverty Line) families pay out-of-pocket for surgeries because they lack awareness of Ayushman Bharat (PM-JAY) and Jan Aushadhi generic medicines.</w:t>
      </w:r>
    </w:p>
    <w:p>
      <w:pPr>
        <w:pStyle w:val="Heading2"/>
        <w:keepNext/>
        <w:spacing w:before="240" w:after="80"/>
      </w:pPr>
      <w:r>
        <w:rPr>
          <w:rFonts w:ascii="Calibri" w:hAnsi="Calibri"/>
          <w:b/>
          <w:color w:val="2B6CB0"/>
          <w:sz w:val="26"/>
        </w:rPr>
        <w:t>1.2 The Core Idea: Turning Mobile Devices into Digital Paramedics</w:t>
      </w:r>
    </w:p>
    <w:p>
      <w:pPr>
        <w:spacing w:before="0" w:after="120" w:line="276" w:lineRule="auto"/>
      </w:pPr>
      <w:r>
        <w:rPr>
          <w:rFonts w:ascii="Calibri" w:hAnsi="Calibri"/>
          <w:color w:val="2D3748"/>
          <w:sz w:val="20"/>
        </w:rPr>
        <w:t>The core idea of AarogyaMitra is simple yet transformative: Democratize healthcare access by converting everyday mobile phones into trusted, multi-lingual, voice-first digital medical companions.</w:t>
      </w:r>
    </w:p>
    <w:p>
      <w:pPr>
        <w:spacing w:before="0" w:after="120" w:line="276" w:lineRule="auto"/>
      </w:pPr>
      <w:r>
        <w:rPr>
          <w:rFonts w:ascii="Calibri" w:hAnsi="Calibri"/>
          <w:color w:val="2D3748"/>
          <w:sz w:val="20"/>
        </w:rPr>
        <w:t>The 4 Pillars of the Solution:</w:t>
      </w:r>
    </w:p>
    <w:p>
      <w:pPr>
        <w:pStyle w:val="ListBullet"/>
        <w:spacing w:before="0" w:after="60" w:line="276" w:lineRule="auto"/>
      </w:pPr>
      <w:r>
        <w:rPr>
          <w:rFonts w:ascii="Calibri" w:hAnsi="Calibri"/>
          <w:b/>
          <w:color w:val="1A365D"/>
          <w:sz w:val="20"/>
        </w:rPr>
        <w:t xml:space="preserve">1. Verified Clinical Triage: </w:t>
      </w:r>
      <w:r>
        <w:rPr>
          <w:rFonts w:ascii="Calibri" w:hAnsi="Calibri"/>
          <w:color w:val="2D3748"/>
          <w:sz w:val="20"/>
        </w:rPr>
        <w:t>Instant, clinically verified first-aid guidance and life-critical emergency red flag detection.</w:t>
      </w:r>
    </w:p>
    <w:p>
      <w:pPr>
        <w:pStyle w:val="ListBullet"/>
        <w:spacing w:before="0" w:after="60" w:line="276" w:lineRule="auto"/>
      </w:pPr>
      <w:r>
        <w:rPr>
          <w:rFonts w:ascii="Calibri" w:hAnsi="Calibri"/>
          <w:b/>
          <w:color w:val="1A365D"/>
          <w:sz w:val="20"/>
        </w:rPr>
        <w:t xml:space="preserve">2. Government-First Discovery: </w:t>
      </w:r>
      <w:r>
        <w:rPr>
          <w:rFonts w:ascii="Calibri" w:hAnsi="Calibri"/>
          <w:color w:val="2D3748"/>
          <w:sz w:val="20"/>
        </w:rPr>
        <w:t>Connecting citizens directly with nearby government PHCs, CHCs, and Jan Aushadhi generic stores before private clinics.</w:t>
      </w:r>
    </w:p>
    <w:p>
      <w:pPr>
        <w:pStyle w:val="ListBullet"/>
        <w:spacing w:before="0" w:after="60" w:line="276" w:lineRule="auto"/>
      </w:pPr>
      <w:r>
        <w:rPr>
          <w:rFonts w:ascii="Calibri" w:hAnsi="Calibri"/>
          <w:b/>
          <w:color w:val="1A365D"/>
          <w:sz w:val="20"/>
        </w:rPr>
        <w:t xml:space="preserve">3. Zero-Cost Telemedicine Gateways: </w:t>
      </w:r>
      <w:r>
        <w:rPr>
          <w:rFonts w:ascii="Calibri" w:hAnsi="Calibri"/>
          <w:color w:val="2D3748"/>
          <w:sz w:val="20"/>
        </w:rPr>
        <w:t>Deep-linking patients into free 24/7 National/State 104 audio helplines and official eSanjeevani video OPD portals.</w:t>
      </w:r>
    </w:p>
    <w:p>
      <w:pPr>
        <w:pStyle w:val="ListBullet"/>
        <w:spacing w:before="0" w:after="60" w:line="276" w:lineRule="auto"/>
      </w:pPr>
      <w:r>
        <w:rPr>
          <w:rFonts w:ascii="Calibri" w:hAnsi="Calibri"/>
          <w:b/>
          <w:color w:val="1A365D"/>
          <w:sz w:val="20"/>
        </w:rPr>
        <w:t xml:space="preserve">4. Multilingual &amp; Edge-Native: </w:t>
      </w:r>
      <w:r>
        <w:rPr>
          <w:rFonts w:ascii="Calibri" w:hAnsi="Calibri"/>
          <w:color w:val="2D3748"/>
          <w:sz w:val="20"/>
        </w:rPr>
        <w:t>Conversational voice-in, voice-out intelligence supporting 22 scheduled Indian languages with local dialect transliteration.</w:t>
      </w:r>
    </w:p>
    <w:p>
      <w:pPr>
        <w:pStyle w:val="Heading2"/>
        <w:keepNext/>
        <w:spacing w:before="240" w:after="80"/>
      </w:pPr>
      <w:r>
        <w:rPr>
          <w:rFonts w:ascii="Calibri" w:hAnsi="Calibri"/>
          <w:b/>
          <w:color w:val="2B6CB0"/>
          <w:sz w:val="26"/>
        </w:rPr>
        <w:t>1.3 The Evolution: From a Butterfly into a Dragon</w:t>
      </w:r>
    </w:p>
    <w:p>
      <w:pPr>
        <w:spacing w:before="0" w:after="120" w:line="276" w:lineRule="auto"/>
      </w:pPr>
      <w:r>
        <w:rPr>
          <w:rFonts w:ascii="Calibri" w:hAnsi="Calibri"/>
          <w:color w:val="2D3748"/>
          <w:sz w:val="20"/>
        </w:rPr>
        <w:t>AarogyaMitra did not start as a complex multi-engine system. It began as a delicate 'butterfly'—a simple prompted cloud chatbot prototype designed to answer health questions. However, field validation and rural stress-testing quickly revealed that a simplistic cloud chatbot utterly fails on the ground:</w:t>
      </w:r>
    </w:p>
    <w:p>
      <w:pPr>
        <w:pStyle w:val="ListBullet"/>
        <w:spacing w:before="0" w:after="60" w:line="276" w:lineRule="auto"/>
      </w:pPr>
      <w:r>
        <w:rPr>
          <w:rFonts w:ascii="Calibri" w:hAnsi="Calibri"/>
          <w:b/>
          <w:color w:val="1A365D"/>
          <w:sz w:val="20"/>
        </w:rPr>
        <w:t xml:space="preserve">• The Connectivity Trap: </w:t>
      </w:r>
      <w:r>
        <w:rPr>
          <w:rFonts w:ascii="Calibri" w:hAnsi="Calibri"/>
          <w:color w:val="2D3748"/>
          <w:sz w:val="20"/>
        </w:rPr>
        <w:t>A cloud-dependent LLM dies when 2G cellular bandwidth drops or when power outages hit rural clinics.</w:t>
      </w:r>
    </w:p>
    <w:p>
      <w:pPr>
        <w:pStyle w:val="ListBullet"/>
        <w:spacing w:before="0" w:after="60" w:line="276" w:lineRule="auto"/>
      </w:pPr>
      <w:r>
        <w:rPr>
          <w:rFonts w:ascii="Calibri" w:hAnsi="Calibri"/>
          <w:b/>
          <w:color w:val="1A365D"/>
          <w:sz w:val="20"/>
        </w:rPr>
        <w:t xml:space="preserve">• Data Privacy Concerns: </w:t>
      </w:r>
      <w:r>
        <w:rPr>
          <w:rFonts w:ascii="Calibri" w:hAnsi="Calibri"/>
          <w:color w:val="2D3748"/>
          <w:sz w:val="20"/>
        </w:rPr>
        <w:t>Sending sensitive patient medical complaints and BPL identifiers across third-party cloud APIs violates zero-trust health data privacy.</w:t>
      </w:r>
    </w:p>
    <w:p>
      <w:pPr>
        <w:pStyle w:val="ListBullet"/>
        <w:spacing w:before="0" w:after="60" w:line="276" w:lineRule="auto"/>
      </w:pPr>
      <w:r>
        <w:rPr>
          <w:rFonts w:ascii="Calibri" w:hAnsi="Calibri"/>
          <w:b/>
          <w:color w:val="1A365D"/>
          <w:sz w:val="20"/>
        </w:rPr>
        <w:t xml:space="preserve">• Latency Time-Budgets: </w:t>
      </w:r>
      <w:r>
        <w:rPr>
          <w:rFonts w:ascii="Calibri" w:hAnsi="Calibri"/>
          <w:color w:val="2D3748"/>
          <w:sz w:val="20"/>
        </w:rPr>
        <w:t>When a patient reports acute chest pain or snakebite, waiting 6,000 milliseconds for a generative cloud LLM to stream a polite response is dangerous. Emergency routing demands sub-150ms deterministic decisions.</w:t>
      </w:r>
    </w:p>
    <w:p>
      <w:pPr>
        <w:spacing w:before="0" w:after="120" w:line="276" w:lineRule="auto"/>
      </w:pPr>
      <w:r>
        <w:rPr>
          <w:rFonts w:ascii="Calibri" w:hAnsi="Calibri"/>
          <w:color w:val="2D3748"/>
          <w:sz w:val="20"/>
        </w:rPr>
        <w:t>To survive real-world constraints, the architecture evolved into a multi-tiered 'dragon': an offline-capable, edge-optimized pipeline orchestrating fast System-1 ModernBERT decision routing, localized GGUF generative synthesis, PyMuPDF and Qwen-VL vision OCR, hybrid spatial mapping, and on-device Meta MMS VITS speech synthesis.</w:t>
      </w:r>
    </w:p>
    <w:p>
      <w:pPr>
        <w:spacing w:after="120"/>
      </w:pPr>
    </w:p>
    <w:p>
      <w:pPr>
        <w:pStyle w:val="Heading1"/>
        <w:keepNext/>
        <w:spacing w:before="320" w:after="120"/>
      </w:pPr>
      <w:r>
        <w:rPr>
          <w:rFonts w:ascii="Calibri" w:hAnsi="Calibri"/>
          <w:b/>
          <w:color w:val="1A365D"/>
          <w:sz w:val="32"/>
        </w:rPr>
        <w:t>Part 2: End-to-End Architectural Pipeline Breakdown</w:t>
      </w:r>
    </w:p>
    <w:p>
      <w:pPr>
        <w:spacing w:before="0" w:after="120" w:line="276" w:lineRule="auto"/>
      </w:pPr>
      <w:r>
        <w:rPr>
          <w:rFonts w:ascii="Calibri" w:hAnsi="Calibri"/>
          <w:color w:val="2D3748"/>
          <w:sz w:val="20"/>
        </w:rPr>
        <w:t>The pipeline consists of 5 modular execution phases organized as follows:</w:t>
      </w:r>
    </w:p>
    <w:tbl>
      <w:tblPr>
        <w:tblW w:type="auto" w:w="0"/>
        <w:jc w:val="center"/>
        <w:tblLook w:firstColumn="1" w:firstRow="1" w:lastColumn="0" w:lastRow="0" w:noHBand="0" w:noVBand="1" w:val="04A0"/>
      </w:tblPr>
      <w:tblGrid>
        <w:gridCol w:w="2340"/>
        <w:gridCol w:w="2340"/>
        <w:gridCol w:w="2340"/>
        <w:gridCol w:w="2340"/>
      </w:tblGrid>
      <w:tr>
        <w:tc>
          <w:tcPr>
            <w:tcW w:type="dxa" w:w="2340"/>
            <w:tcMar>
              <w:top w:w="60" w:type="dxa"/>
              <w:bottom w:w="60" w:type="dxa"/>
              <w:left w:w="80" w:type="dxa"/>
              <w:right w:w="80" w:type="dxa"/>
            </w:tcMar>
            <w:shd w:fill="1A365D"/>
          </w:tcPr>
          <w:p>
            <w:pPr>
              <w:spacing w:before="0" w:after="0" w:line="252" w:lineRule="auto"/>
            </w:pPr>
            <w:r>
              <w:rPr>
                <w:rFonts w:ascii="Calibri" w:hAnsi="Calibri"/>
                <w:b/>
                <w:color w:val="FFFFFF"/>
                <w:sz w:val="17"/>
              </w:rPr>
              <w:t>Phase / Stage</w:t>
            </w:r>
          </w:p>
        </w:tc>
        <w:tc>
          <w:tcPr>
            <w:tcW w:type="dxa" w:w="2340"/>
            <w:tcMar>
              <w:top w:w="60" w:type="dxa"/>
              <w:bottom w:w="60" w:type="dxa"/>
              <w:left w:w="80" w:type="dxa"/>
              <w:right w:w="80" w:type="dxa"/>
            </w:tcMar>
            <w:shd w:fill="1A365D"/>
          </w:tcPr>
          <w:p>
            <w:pPr>
              <w:spacing w:before="0" w:after="0" w:line="252" w:lineRule="auto"/>
            </w:pPr>
            <w:r>
              <w:rPr>
                <w:rFonts w:ascii="Calibri" w:hAnsi="Calibri"/>
                <w:b/>
                <w:color w:val="FFFFFF"/>
                <w:sz w:val="17"/>
              </w:rPr>
              <w:t>Component / Engine</w:t>
            </w:r>
          </w:p>
        </w:tc>
        <w:tc>
          <w:tcPr>
            <w:tcW w:type="dxa" w:w="2340"/>
            <w:tcMar>
              <w:top w:w="60" w:type="dxa"/>
              <w:bottom w:w="60" w:type="dxa"/>
              <w:left w:w="80" w:type="dxa"/>
              <w:right w:w="80" w:type="dxa"/>
            </w:tcMar>
            <w:shd w:fill="1A365D"/>
          </w:tcPr>
          <w:p>
            <w:pPr>
              <w:spacing w:before="0" w:after="0" w:line="252" w:lineRule="auto"/>
            </w:pPr>
            <w:r>
              <w:rPr>
                <w:rFonts w:ascii="Calibri" w:hAnsi="Calibri"/>
                <w:b/>
                <w:color w:val="FFFFFF"/>
                <w:sz w:val="17"/>
              </w:rPr>
              <w:t>Underlying Technology</w:t>
            </w:r>
          </w:p>
        </w:tc>
        <w:tc>
          <w:tcPr>
            <w:tcW w:type="dxa" w:w="2340"/>
            <w:tcMar>
              <w:top w:w="60" w:type="dxa"/>
              <w:bottom w:w="60" w:type="dxa"/>
              <w:left w:w="80" w:type="dxa"/>
              <w:right w:w="80" w:type="dxa"/>
            </w:tcMar>
            <w:shd w:fill="1A365D"/>
          </w:tcPr>
          <w:p>
            <w:pPr>
              <w:spacing w:before="0" w:after="0" w:line="252" w:lineRule="auto"/>
            </w:pPr>
            <w:r>
              <w:rPr>
                <w:rFonts w:ascii="Calibri" w:hAnsi="Calibri"/>
                <w:b/>
                <w:color w:val="FFFFFF"/>
                <w:sz w:val="17"/>
              </w:rPr>
              <w:t>Core Function</w:t>
            </w:r>
          </w:p>
        </w:tc>
      </w:tr>
      <w:tr>
        <w:tc>
          <w:tcPr>
            <w:tcW w:type="dxa" w:w="2340"/>
            <w:tcMar>
              <w:top w:w="60" w:type="dxa"/>
              <w:bottom w:w="60" w:type="dxa"/>
              <w:left w:w="80" w:type="dxa"/>
              <w:right w:w="80" w:type="dxa"/>
            </w:tcMar>
            <w:shd w:fill="F7FAFC"/>
          </w:tcPr>
          <w:p>
            <w:pPr>
              <w:spacing w:before="0" w:after="0" w:line="252" w:lineRule="auto"/>
            </w:pPr>
            <w:r>
              <w:rPr>
                <w:rFonts w:ascii="Calibri" w:hAnsi="Calibri"/>
                <w:color w:val="2D3748"/>
                <w:sz w:val="16"/>
              </w:rPr>
              <w:t>Ingestion &amp; Dispatch</w:t>
            </w:r>
          </w:p>
        </w:tc>
        <w:tc>
          <w:tcPr>
            <w:tcW w:type="dxa" w:w="2340"/>
            <w:tcMar>
              <w:top w:w="60" w:type="dxa"/>
              <w:bottom w:w="60" w:type="dxa"/>
              <w:left w:w="80" w:type="dxa"/>
              <w:right w:w="80" w:type="dxa"/>
            </w:tcMar>
            <w:shd w:fill="F7FAFC"/>
          </w:tcPr>
          <w:p>
            <w:pPr>
              <w:spacing w:before="0" w:after="0" w:line="252" w:lineRule="auto"/>
            </w:pPr>
            <w:r>
              <w:rPr>
                <w:rFonts w:ascii="Calibri" w:hAnsi="Calibri"/>
                <w:color w:val="2D3748"/>
                <w:sz w:val="16"/>
              </w:rPr>
              <w:t>Webhook &amp; MIME Switch</w:t>
            </w:r>
          </w:p>
        </w:tc>
        <w:tc>
          <w:tcPr>
            <w:tcW w:type="dxa" w:w="2340"/>
            <w:tcMar>
              <w:top w:w="60" w:type="dxa"/>
              <w:bottom w:w="60" w:type="dxa"/>
              <w:left w:w="80" w:type="dxa"/>
              <w:right w:w="80" w:type="dxa"/>
            </w:tcMar>
            <w:shd w:fill="F7FAFC"/>
          </w:tcPr>
          <w:p>
            <w:pPr>
              <w:spacing w:before="0" w:after="0" w:line="252" w:lineRule="auto"/>
            </w:pPr>
            <w:r>
              <w:rPr>
                <w:rFonts w:ascii="Calibri" w:hAnsi="Calibri"/>
                <w:color w:val="2D3748"/>
                <w:sz w:val="16"/>
              </w:rPr>
              <w:t>FastAPI / MIME Parser</w:t>
            </w:r>
          </w:p>
        </w:tc>
        <w:tc>
          <w:tcPr>
            <w:tcW w:type="dxa" w:w="2340"/>
            <w:tcMar>
              <w:top w:w="60" w:type="dxa"/>
              <w:bottom w:w="60" w:type="dxa"/>
              <w:left w:w="80" w:type="dxa"/>
              <w:right w:w="80" w:type="dxa"/>
            </w:tcMar>
            <w:shd w:fill="F7FAFC"/>
          </w:tcPr>
          <w:p>
            <w:pPr>
              <w:spacing w:before="0" w:after="0" w:line="252" w:lineRule="auto"/>
            </w:pPr>
            <w:r>
              <w:rPr>
                <w:rFonts w:ascii="Calibri" w:hAnsi="Calibri"/>
                <w:color w:val="2D3748"/>
                <w:sz w:val="16"/>
              </w:rPr>
              <w:t>Ingests WhatsApp/App payloads; splits Text/Audio vs PDF/Image attachments.</w:t>
            </w:r>
          </w:p>
        </w:tc>
      </w:tr>
      <w:tr>
        <w:tc>
          <w:tcPr>
            <w:tcW w:type="dxa" w:w="2340"/>
            <w:tcMar>
              <w:top w:w="60" w:type="dxa"/>
              <w:bottom w:w="60" w:type="dxa"/>
              <w:left w:w="80" w:type="dxa"/>
              <w:right w:w="80" w:type="dxa"/>
            </w:tcMar>
            <w:shd w:fill="FFFFFF"/>
          </w:tcPr>
          <w:p>
            <w:pPr>
              <w:spacing w:before="0" w:after="0" w:line="252" w:lineRule="auto"/>
            </w:pPr>
            <w:r>
              <w:rPr>
                <w:rFonts w:ascii="Calibri" w:hAnsi="Calibri"/>
                <w:color w:val="2D3748"/>
                <w:sz w:val="16"/>
              </w:rPr>
              <w:t>Phase 1: NLP Engine</w:t>
            </w:r>
          </w:p>
        </w:tc>
        <w:tc>
          <w:tcPr>
            <w:tcW w:type="dxa" w:w="2340"/>
            <w:tcMar>
              <w:top w:w="60" w:type="dxa"/>
              <w:bottom w:w="60" w:type="dxa"/>
              <w:left w:w="80" w:type="dxa"/>
              <w:right w:w="80" w:type="dxa"/>
            </w:tcMar>
            <w:shd w:fill="FFFFFF"/>
          </w:tcPr>
          <w:p>
            <w:pPr>
              <w:spacing w:before="0" w:after="0" w:line="252" w:lineRule="auto"/>
            </w:pPr>
            <w:r>
              <w:rPr>
                <w:rFonts w:ascii="Calibri" w:hAnsi="Calibri"/>
                <w:color w:val="2D3748"/>
                <w:sz w:val="16"/>
              </w:rPr>
              <w:t>IndicLID + IndicXlit</w:t>
            </w:r>
          </w:p>
        </w:tc>
        <w:tc>
          <w:tcPr>
            <w:tcW w:type="dxa" w:w="2340"/>
            <w:tcMar>
              <w:top w:w="60" w:type="dxa"/>
              <w:bottom w:w="60" w:type="dxa"/>
              <w:left w:w="80" w:type="dxa"/>
              <w:right w:w="80" w:type="dxa"/>
            </w:tcMar>
            <w:shd w:fill="FFFFFF"/>
          </w:tcPr>
          <w:p>
            <w:pPr>
              <w:spacing w:before="0" w:after="0" w:line="252" w:lineRule="auto"/>
            </w:pPr>
            <w:r>
              <w:rPr>
                <w:rFonts w:ascii="Calibri" w:hAnsi="Calibri"/>
                <w:color w:val="2D3748"/>
                <w:sz w:val="16"/>
              </w:rPr>
              <w:t>AI4Bharat IndicNLP</w:t>
            </w:r>
          </w:p>
        </w:tc>
        <w:tc>
          <w:tcPr>
            <w:tcW w:type="dxa" w:w="2340"/>
            <w:tcMar>
              <w:top w:w="60" w:type="dxa"/>
              <w:bottom w:w="60" w:type="dxa"/>
              <w:left w:w="80" w:type="dxa"/>
              <w:right w:w="80" w:type="dxa"/>
            </w:tcMar>
            <w:shd w:fill="FFFFFF"/>
          </w:tcPr>
          <w:p>
            <w:pPr>
              <w:spacing w:before="0" w:after="0" w:line="252" w:lineRule="auto"/>
            </w:pPr>
            <w:r>
              <w:rPr>
                <w:rFonts w:ascii="Calibri" w:hAnsi="Calibri"/>
                <w:color w:val="2D3748"/>
                <w:sz w:val="16"/>
              </w:rPr>
              <w:t>Identifies 22 Indian languages and transliterates Romanized/Hinglish to native script.</w:t>
            </w:r>
          </w:p>
        </w:tc>
      </w:tr>
      <w:tr>
        <w:tc>
          <w:tcPr>
            <w:tcW w:type="dxa" w:w="2340"/>
            <w:tcMar>
              <w:top w:w="60" w:type="dxa"/>
              <w:bottom w:w="60" w:type="dxa"/>
              <w:left w:w="80" w:type="dxa"/>
              <w:right w:w="80" w:type="dxa"/>
            </w:tcMar>
            <w:shd w:fill="F7FAFC"/>
          </w:tcPr>
          <w:p>
            <w:pPr>
              <w:spacing w:before="0" w:after="0" w:line="252" w:lineRule="auto"/>
            </w:pPr>
            <w:r>
              <w:rPr>
                <w:rFonts w:ascii="Calibri" w:hAnsi="Calibri"/>
                <w:color w:val="2D3748"/>
                <w:sz w:val="16"/>
              </w:rPr>
              <w:t>Phase 1: NLP Engine</w:t>
            </w:r>
          </w:p>
        </w:tc>
        <w:tc>
          <w:tcPr>
            <w:tcW w:type="dxa" w:w="2340"/>
            <w:tcMar>
              <w:top w:w="60" w:type="dxa"/>
              <w:bottom w:w="60" w:type="dxa"/>
              <w:left w:w="80" w:type="dxa"/>
              <w:right w:w="80" w:type="dxa"/>
            </w:tcMar>
            <w:shd w:fill="F7FAFC"/>
          </w:tcPr>
          <w:p>
            <w:pPr>
              <w:spacing w:before="0" w:after="0" w:line="252" w:lineRule="auto"/>
            </w:pPr>
            <w:r>
              <w:rPr>
                <w:rFonts w:ascii="Calibri" w:hAnsi="Calibri"/>
                <w:color w:val="2D3748"/>
                <w:sz w:val="16"/>
              </w:rPr>
              <w:t>CTranslate2 NLLB-200</w:t>
            </w:r>
          </w:p>
        </w:tc>
        <w:tc>
          <w:tcPr>
            <w:tcW w:type="dxa" w:w="2340"/>
            <w:tcMar>
              <w:top w:w="60" w:type="dxa"/>
              <w:bottom w:w="60" w:type="dxa"/>
              <w:left w:w="80" w:type="dxa"/>
              <w:right w:w="80" w:type="dxa"/>
            </w:tcMar>
            <w:shd w:fill="F7FAFC"/>
          </w:tcPr>
          <w:p>
            <w:pPr>
              <w:spacing w:before="0" w:after="0" w:line="252" w:lineRule="auto"/>
            </w:pPr>
            <w:r>
              <w:rPr>
                <w:rFonts w:ascii="Calibri" w:hAnsi="Calibri"/>
                <w:color w:val="2D3748"/>
                <w:sz w:val="16"/>
              </w:rPr>
              <w:t>CTranslate2 (CPU Opt)</w:t>
            </w:r>
          </w:p>
        </w:tc>
        <w:tc>
          <w:tcPr>
            <w:tcW w:type="dxa" w:w="2340"/>
            <w:tcMar>
              <w:top w:w="60" w:type="dxa"/>
              <w:bottom w:w="60" w:type="dxa"/>
              <w:left w:w="80" w:type="dxa"/>
              <w:right w:w="80" w:type="dxa"/>
            </w:tcMar>
            <w:shd w:fill="F7FAFC"/>
          </w:tcPr>
          <w:p>
            <w:pPr>
              <w:spacing w:before="0" w:after="0" w:line="252" w:lineRule="auto"/>
            </w:pPr>
            <w:r>
              <w:rPr>
                <w:rFonts w:ascii="Calibri" w:hAnsi="Calibri"/>
                <w:color w:val="2D3748"/>
                <w:sz w:val="16"/>
              </w:rPr>
              <w:t>Translates native Indic dialect queries into normalized English (&lt;1.2s CPU).</w:t>
            </w:r>
          </w:p>
        </w:tc>
      </w:tr>
      <w:tr>
        <w:tc>
          <w:tcPr>
            <w:tcW w:type="dxa" w:w="2340"/>
            <w:tcMar>
              <w:top w:w="60" w:type="dxa"/>
              <w:bottom w:w="60" w:type="dxa"/>
              <w:left w:w="80" w:type="dxa"/>
              <w:right w:w="80" w:type="dxa"/>
            </w:tcMar>
            <w:shd w:fill="FFFFFF"/>
          </w:tcPr>
          <w:p>
            <w:pPr>
              <w:spacing w:before="0" w:after="0" w:line="252" w:lineRule="auto"/>
            </w:pPr>
            <w:r>
              <w:rPr>
                <w:rFonts w:ascii="Calibri" w:hAnsi="Calibri"/>
                <w:color w:val="2D3748"/>
                <w:sz w:val="16"/>
              </w:rPr>
              <w:t>Phase 1: NLP Engine</w:t>
            </w:r>
          </w:p>
        </w:tc>
        <w:tc>
          <w:tcPr>
            <w:tcW w:type="dxa" w:w="2340"/>
            <w:tcMar>
              <w:top w:w="60" w:type="dxa"/>
              <w:bottom w:w="60" w:type="dxa"/>
              <w:left w:w="80" w:type="dxa"/>
              <w:right w:w="80" w:type="dxa"/>
            </w:tcMar>
            <w:shd w:fill="FFFFFF"/>
          </w:tcPr>
          <w:p>
            <w:pPr>
              <w:spacing w:before="0" w:after="0" w:line="252" w:lineRule="auto"/>
            </w:pPr>
            <w:r>
              <w:rPr>
                <w:rFonts w:ascii="Calibri" w:hAnsi="Calibri"/>
                <w:color w:val="2D3748"/>
                <w:sz w:val="16"/>
              </w:rPr>
              <w:t>Laya Intent Classifier</w:t>
            </w:r>
          </w:p>
        </w:tc>
        <w:tc>
          <w:tcPr>
            <w:tcW w:type="dxa" w:w="2340"/>
            <w:tcMar>
              <w:top w:w="60" w:type="dxa"/>
              <w:bottom w:w="60" w:type="dxa"/>
              <w:left w:w="80" w:type="dxa"/>
              <w:right w:w="80" w:type="dxa"/>
            </w:tcMar>
            <w:shd w:fill="FFFFFF"/>
          </w:tcPr>
          <w:p>
            <w:pPr>
              <w:spacing w:before="0" w:after="0" w:line="252" w:lineRule="auto"/>
            </w:pPr>
            <w:r>
              <w:rPr>
                <w:rFonts w:ascii="Calibri" w:hAnsi="Calibri"/>
                <w:color w:val="2D3748"/>
                <w:sz w:val="16"/>
              </w:rPr>
              <w:t>Fine-Tuned ModernBERT</w:t>
            </w:r>
          </w:p>
        </w:tc>
        <w:tc>
          <w:tcPr>
            <w:tcW w:type="dxa" w:w="2340"/>
            <w:tcMar>
              <w:top w:w="60" w:type="dxa"/>
              <w:bottom w:w="60" w:type="dxa"/>
              <w:left w:w="80" w:type="dxa"/>
              <w:right w:w="80" w:type="dxa"/>
            </w:tcMar>
            <w:shd w:fill="FFFFFF"/>
          </w:tcPr>
          <w:p>
            <w:pPr>
              <w:spacing w:before="0" w:after="0" w:line="252" w:lineRule="auto"/>
            </w:pPr>
            <w:r>
              <w:rPr>
                <w:rFonts w:ascii="Calibri" w:hAnsi="Calibri"/>
                <w:color w:val="2D3748"/>
                <w:sz w:val="16"/>
              </w:rPr>
              <w:t>Sub-120ms deterministic classification into 6 high-stakes healthcare classes.</w:t>
            </w:r>
          </w:p>
        </w:tc>
      </w:tr>
      <w:tr>
        <w:tc>
          <w:tcPr>
            <w:tcW w:type="dxa" w:w="2340"/>
            <w:tcMar>
              <w:top w:w="60" w:type="dxa"/>
              <w:bottom w:w="60" w:type="dxa"/>
              <w:left w:w="80" w:type="dxa"/>
              <w:right w:w="80" w:type="dxa"/>
            </w:tcMar>
            <w:shd w:fill="F7FAFC"/>
          </w:tcPr>
          <w:p>
            <w:pPr>
              <w:spacing w:before="0" w:after="0" w:line="252" w:lineRule="auto"/>
            </w:pPr>
            <w:r>
              <w:rPr>
                <w:rFonts w:ascii="Calibri" w:hAnsi="Calibri"/>
                <w:color w:val="2D3748"/>
                <w:sz w:val="16"/>
              </w:rPr>
              <w:t>Phase 2: Vision Service</w:t>
            </w:r>
          </w:p>
        </w:tc>
        <w:tc>
          <w:tcPr>
            <w:tcW w:type="dxa" w:w="2340"/>
            <w:tcMar>
              <w:top w:w="60" w:type="dxa"/>
              <w:bottom w:w="60" w:type="dxa"/>
              <w:left w:w="80" w:type="dxa"/>
              <w:right w:w="80" w:type="dxa"/>
            </w:tcMar>
            <w:shd w:fill="F7FAFC"/>
          </w:tcPr>
          <w:p>
            <w:pPr>
              <w:spacing w:before="0" w:after="0" w:line="252" w:lineRule="auto"/>
            </w:pPr>
            <w:r>
              <w:rPr>
                <w:rFonts w:ascii="Calibri" w:hAnsi="Calibri"/>
                <w:color w:val="2D3748"/>
                <w:sz w:val="16"/>
              </w:rPr>
              <w:t>PyMuPDF &amp; Qwen-VL</w:t>
            </w:r>
          </w:p>
        </w:tc>
        <w:tc>
          <w:tcPr>
            <w:tcW w:type="dxa" w:w="2340"/>
            <w:tcMar>
              <w:top w:w="60" w:type="dxa"/>
              <w:bottom w:w="60" w:type="dxa"/>
              <w:left w:w="80" w:type="dxa"/>
              <w:right w:w="80" w:type="dxa"/>
            </w:tcMar>
            <w:shd w:fill="F7FAFC"/>
          </w:tcPr>
          <w:p>
            <w:pPr>
              <w:spacing w:before="0" w:after="0" w:line="252" w:lineRule="auto"/>
            </w:pPr>
            <w:r>
              <w:rPr>
                <w:rFonts w:ascii="Calibri" w:hAnsi="Calibri"/>
                <w:color w:val="2D3748"/>
                <w:sz w:val="16"/>
              </w:rPr>
              <w:t>PyMuPDF / Qwen2-VL</w:t>
            </w:r>
          </w:p>
        </w:tc>
        <w:tc>
          <w:tcPr>
            <w:tcW w:type="dxa" w:w="2340"/>
            <w:tcMar>
              <w:top w:w="60" w:type="dxa"/>
              <w:bottom w:w="60" w:type="dxa"/>
              <w:left w:w="80" w:type="dxa"/>
              <w:right w:w="80" w:type="dxa"/>
            </w:tcMar>
            <w:shd w:fill="F7FAFC"/>
          </w:tcPr>
          <w:p>
            <w:pPr>
              <w:spacing w:before="0" w:after="0" w:line="252" w:lineRule="auto"/>
            </w:pPr>
            <w:r>
              <w:rPr>
                <w:rFonts w:ascii="Calibri" w:hAnsi="Calibri"/>
                <w:color w:val="2D3748"/>
                <w:sz w:val="16"/>
              </w:rPr>
              <w:t>Parses tabular PDF lab reports and OCRs handwritten doctor prescriptions.</w:t>
            </w:r>
          </w:p>
        </w:tc>
      </w:tr>
      <w:tr>
        <w:tc>
          <w:tcPr>
            <w:tcW w:type="dxa" w:w="2340"/>
            <w:tcMar>
              <w:top w:w="60" w:type="dxa"/>
              <w:bottom w:w="60" w:type="dxa"/>
              <w:left w:w="80" w:type="dxa"/>
              <w:right w:w="80" w:type="dxa"/>
            </w:tcMar>
            <w:shd w:fill="FFFFFF"/>
          </w:tcPr>
          <w:p>
            <w:pPr>
              <w:spacing w:before="0" w:after="0" w:line="252" w:lineRule="auto"/>
            </w:pPr>
            <w:r>
              <w:rPr>
                <w:rFonts w:ascii="Calibri" w:hAnsi="Calibri"/>
                <w:color w:val="2D3748"/>
                <w:sz w:val="16"/>
              </w:rPr>
              <w:t>Phase 2: Vision Service</w:t>
            </w:r>
          </w:p>
        </w:tc>
        <w:tc>
          <w:tcPr>
            <w:tcW w:type="dxa" w:w="2340"/>
            <w:tcMar>
              <w:top w:w="60" w:type="dxa"/>
              <w:bottom w:w="60" w:type="dxa"/>
              <w:left w:w="80" w:type="dxa"/>
              <w:right w:w="80" w:type="dxa"/>
            </w:tcMar>
            <w:shd w:fill="FFFFFF"/>
          </w:tcPr>
          <w:p>
            <w:pPr>
              <w:spacing w:before="0" w:after="0" w:line="252" w:lineRule="auto"/>
            </w:pPr>
            <w:r>
              <w:rPr>
                <w:rFonts w:ascii="Calibri" w:hAnsi="Calibri"/>
                <w:color w:val="2D3748"/>
                <w:sz w:val="16"/>
              </w:rPr>
              <w:t>Lexicon Matcher</w:t>
            </w:r>
          </w:p>
        </w:tc>
        <w:tc>
          <w:tcPr>
            <w:tcW w:type="dxa" w:w="2340"/>
            <w:tcMar>
              <w:top w:w="60" w:type="dxa"/>
              <w:bottom w:w="60" w:type="dxa"/>
              <w:left w:w="80" w:type="dxa"/>
              <w:right w:w="80" w:type="dxa"/>
            </w:tcMar>
            <w:shd w:fill="FFFFFF"/>
          </w:tcPr>
          <w:p>
            <w:pPr>
              <w:spacing w:before="0" w:after="0" w:line="252" w:lineRule="auto"/>
            </w:pPr>
            <w:r>
              <w:rPr>
                <w:rFonts w:ascii="Calibri" w:hAnsi="Calibri"/>
                <w:color w:val="2D3748"/>
                <w:sz w:val="16"/>
              </w:rPr>
              <w:t>Fuzzy RapidFuzz Matcher</w:t>
            </w:r>
          </w:p>
        </w:tc>
        <w:tc>
          <w:tcPr>
            <w:tcW w:type="dxa" w:w="2340"/>
            <w:tcMar>
              <w:top w:w="60" w:type="dxa"/>
              <w:bottom w:w="60" w:type="dxa"/>
              <w:left w:w="80" w:type="dxa"/>
              <w:right w:w="80" w:type="dxa"/>
            </w:tcMar>
            <w:shd w:fill="FFFFFF"/>
          </w:tcPr>
          <w:p>
            <w:pPr>
              <w:spacing w:before="0" w:after="0" w:line="252" w:lineRule="auto"/>
            </w:pPr>
            <w:r>
              <w:rPr>
                <w:rFonts w:ascii="Calibri" w:hAnsi="Calibri"/>
                <w:color w:val="2D3748"/>
                <w:sz w:val="16"/>
              </w:rPr>
              <w:t>Matches prescription drug brand names to cheap Jan Aushadhi generic salts.</w:t>
            </w:r>
          </w:p>
        </w:tc>
      </w:tr>
      <w:tr>
        <w:tc>
          <w:tcPr>
            <w:tcW w:type="dxa" w:w="2340"/>
            <w:tcMar>
              <w:top w:w="60" w:type="dxa"/>
              <w:bottom w:w="60" w:type="dxa"/>
              <w:left w:w="80" w:type="dxa"/>
              <w:right w:w="80" w:type="dxa"/>
            </w:tcMar>
            <w:shd w:fill="F7FAFC"/>
          </w:tcPr>
          <w:p>
            <w:pPr>
              <w:spacing w:before="0" w:after="0" w:line="252" w:lineRule="auto"/>
            </w:pPr>
            <w:r>
              <w:rPr>
                <w:rFonts w:ascii="Calibri" w:hAnsi="Calibri"/>
                <w:color w:val="2D3748"/>
                <w:sz w:val="16"/>
              </w:rPr>
              <w:t>Downstream Handlers</w:t>
            </w:r>
          </w:p>
        </w:tc>
        <w:tc>
          <w:tcPr>
            <w:tcW w:type="dxa" w:w="2340"/>
            <w:tcMar>
              <w:top w:w="60" w:type="dxa"/>
              <w:bottom w:w="60" w:type="dxa"/>
              <w:left w:w="80" w:type="dxa"/>
              <w:right w:w="80" w:type="dxa"/>
            </w:tcMar>
            <w:shd w:fill="F7FAFC"/>
          </w:tcPr>
          <w:p>
            <w:pPr>
              <w:spacing w:before="0" w:after="0" w:line="252" w:lineRule="auto"/>
            </w:pPr>
            <w:r>
              <w:rPr>
                <w:rFonts w:ascii="Calibri" w:hAnsi="Calibri"/>
                <w:color w:val="2D3748"/>
                <w:sz w:val="16"/>
              </w:rPr>
              <w:t>Emergency Red Flag</w:t>
            </w:r>
          </w:p>
        </w:tc>
        <w:tc>
          <w:tcPr>
            <w:tcW w:type="dxa" w:w="2340"/>
            <w:tcMar>
              <w:top w:w="60" w:type="dxa"/>
              <w:bottom w:w="60" w:type="dxa"/>
              <w:left w:w="80" w:type="dxa"/>
              <w:right w:w="80" w:type="dxa"/>
            </w:tcMar>
            <w:shd w:fill="F7FAFC"/>
          </w:tcPr>
          <w:p>
            <w:pPr>
              <w:spacing w:before="0" w:after="0" w:line="252" w:lineRule="auto"/>
            </w:pPr>
            <w:r>
              <w:rPr>
                <w:rFonts w:ascii="Calibri" w:hAnsi="Calibri"/>
                <w:color w:val="2D3748"/>
                <w:sz w:val="16"/>
              </w:rPr>
              <w:t>Immediate Action Dispatcher</w:t>
            </w:r>
          </w:p>
        </w:tc>
        <w:tc>
          <w:tcPr>
            <w:tcW w:type="dxa" w:w="2340"/>
            <w:tcMar>
              <w:top w:w="60" w:type="dxa"/>
              <w:bottom w:w="60" w:type="dxa"/>
              <w:left w:w="80" w:type="dxa"/>
              <w:right w:w="80" w:type="dxa"/>
            </w:tcMar>
            <w:shd w:fill="F7FAFC"/>
          </w:tcPr>
          <w:p>
            <w:pPr>
              <w:spacing w:before="0" w:after="0" w:line="252" w:lineRule="auto"/>
            </w:pPr>
            <w:r>
              <w:rPr>
                <w:rFonts w:ascii="Calibri" w:hAnsi="Calibri"/>
                <w:color w:val="2D3748"/>
                <w:sz w:val="16"/>
              </w:rPr>
              <w:t>Zero-delay bypass triggering 108/104 emergency dialer for acute distress.</w:t>
            </w:r>
          </w:p>
        </w:tc>
      </w:tr>
      <w:tr>
        <w:tc>
          <w:tcPr>
            <w:tcW w:type="dxa" w:w="2340"/>
            <w:tcMar>
              <w:top w:w="60" w:type="dxa"/>
              <w:bottom w:w="60" w:type="dxa"/>
              <w:left w:w="80" w:type="dxa"/>
              <w:right w:w="80" w:type="dxa"/>
            </w:tcMar>
            <w:shd w:fill="FFFFFF"/>
          </w:tcPr>
          <w:p>
            <w:pPr>
              <w:spacing w:before="0" w:after="0" w:line="252" w:lineRule="auto"/>
            </w:pPr>
            <w:r>
              <w:rPr>
                <w:rFonts w:ascii="Calibri" w:hAnsi="Calibri"/>
                <w:color w:val="2D3748"/>
                <w:sz w:val="16"/>
              </w:rPr>
              <w:t>Downstream Handlers</w:t>
            </w:r>
          </w:p>
        </w:tc>
        <w:tc>
          <w:tcPr>
            <w:tcW w:type="dxa" w:w="2340"/>
            <w:tcMar>
              <w:top w:w="60" w:type="dxa"/>
              <w:bottom w:w="60" w:type="dxa"/>
              <w:left w:w="80" w:type="dxa"/>
              <w:right w:w="80" w:type="dxa"/>
            </w:tcMar>
            <w:shd w:fill="FFFFFF"/>
          </w:tcPr>
          <w:p>
            <w:pPr>
              <w:spacing w:before="0" w:after="0" w:line="252" w:lineRule="auto"/>
            </w:pPr>
            <w:r>
              <w:rPr>
                <w:rFonts w:ascii="Calibri" w:hAnsi="Calibri"/>
                <w:color w:val="2D3748"/>
                <w:sz w:val="16"/>
              </w:rPr>
              <w:t>Postgres Spatial Lookup</w:t>
            </w:r>
          </w:p>
        </w:tc>
        <w:tc>
          <w:tcPr>
            <w:tcW w:type="dxa" w:w="2340"/>
            <w:tcMar>
              <w:top w:w="60" w:type="dxa"/>
              <w:bottom w:w="60" w:type="dxa"/>
              <w:left w:w="80" w:type="dxa"/>
              <w:right w:w="80" w:type="dxa"/>
            </w:tcMar>
            <w:shd w:fill="FFFFFF"/>
          </w:tcPr>
          <w:p>
            <w:pPr>
              <w:spacing w:before="0" w:after="0" w:line="252" w:lineRule="auto"/>
            </w:pPr>
            <w:r>
              <w:rPr>
                <w:rFonts w:ascii="Calibri" w:hAnsi="Calibri"/>
                <w:color w:val="2D3748"/>
                <w:sz w:val="16"/>
              </w:rPr>
              <w:t>PostGIS / Ola Maps / OSM</w:t>
            </w:r>
          </w:p>
        </w:tc>
        <w:tc>
          <w:tcPr>
            <w:tcW w:type="dxa" w:w="2340"/>
            <w:tcMar>
              <w:top w:w="60" w:type="dxa"/>
              <w:bottom w:w="60" w:type="dxa"/>
              <w:left w:w="80" w:type="dxa"/>
              <w:right w:w="80" w:type="dxa"/>
            </w:tcMar>
            <w:shd w:fill="FFFFFF"/>
          </w:tcPr>
          <w:p>
            <w:pPr>
              <w:spacing w:before="0" w:after="0" w:line="252" w:lineRule="auto"/>
            </w:pPr>
            <w:r>
              <w:rPr>
                <w:rFonts w:ascii="Calibri" w:hAnsi="Calibri"/>
                <w:color w:val="2D3748"/>
                <w:sz w:val="16"/>
              </w:rPr>
              <w:t>Spatial radius query finding verified government PHCs, CHCs, and blood banks.</w:t>
            </w:r>
          </w:p>
        </w:tc>
      </w:tr>
      <w:tr>
        <w:tc>
          <w:tcPr>
            <w:tcW w:type="dxa" w:w="2340"/>
            <w:tcMar>
              <w:top w:w="60" w:type="dxa"/>
              <w:bottom w:w="60" w:type="dxa"/>
              <w:left w:w="80" w:type="dxa"/>
              <w:right w:w="80" w:type="dxa"/>
            </w:tcMar>
            <w:shd w:fill="F7FAFC"/>
          </w:tcPr>
          <w:p>
            <w:pPr>
              <w:spacing w:before="0" w:after="0" w:line="252" w:lineRule="auto"/>
            </w:pPr>
            <w:r>
              <w:rPr>
                <w:rFonts w:ascii="Calibri" w:hAnsi="Calibri"/>
                <w:color w:val="2D3748"/>
                <w:sz w:val="16"/>
              </w:rPr>
              <w:t>Downstream Handlers</w:t>
            </w:r>
          </w:p>
        </w:tc>
        <w:tc>
          <w:tcPr>
            <w:tcW w:type="dxa" w:w="2340"/>
            <w:tcMar>
              <w:top w:w="60" w:type="dxa"/>
              <w:bottom w:w="60" w:type="dxa"/>
              <w:left w:w="80" w:type="dxa"/>
              <w:right w:w="80" w:type="dxa"/>
            </w:tcMar>
            <w:shd w:fill="F7FAFC"/>
          </w:tcPr>
          <w:p>
            <w:pPr>
              <w:spacing w:before="0" w:after="0" w:line="252" w:lineRule="auto"/>
            </w:pPr>
            <w:r>
              <w:rPr>
                <w:rFonts w:ascii="Calibri" w:hAnsi="Calibri"/>
                <w:color w:val="2D3748"/>
                <w:sz w:val="16"/>
              </w:rPr>
              <w:t>ICMR RAG Retriever</w:t>
            </w:r>
          </w:p>
        </w:tc>
        <w:tc>
          <w:tcPr>
            <w:tcW w:type="dxa" w:w="2340"/>
            <w:tcMar>
              <w:top w:w="60" w:type="dxa"/>
              <w:bottom w:w="60" w:type="dxa"/>
              <w:left w:w="80" w:type="dxa"/>
              <w:right w:w="80" w:type="dxa"/>
            </w:tcMar>
            <w:shd w:fill="F7FAFC"/>
          </w:tcPr>
          <w:p>
            <w:pPr>
              <w:spacing w:before="0" w:after="0" w:line="252" w:lineRule="auto"/>
            </w:pPr>
            <w:r>
              <w:rPr>
                <w:rFonts w:ascii="Calibri" w:hAnsi="Calibri"/>
                <w:color w:val="2D3748"/>
                <w:sz w:val="16"/>
              </w:rPr>
              <w:t>Dense Knowledge Chunks</w:t>
            </w:r>
          </w:p>
        </w:tc>
        <w:tc>
          <w:tcPr>
            <w:tcW w:type="dxa" w:w="2340"/>
            <w:tcMar>
              <w:top w:w="60" w:type="dxa"/>
              <w:bottom w:w="60" w:type="dxa"/>
              <w:left w:w="80" w:type="dxa"/>
              <w:right w:w="80" w:type="dxa"/>
            </w:tcMar>
            <w:shd w:fill="F7FAFC"/>
          </w:tcPr>
          <w:p>
            <w:pPr>
              <w:spacing w:before="0" w:after="0" w:line="252" w:lineRule="auto"/>
            </w:pPr>
            <w:r>
              <w:rPr>
                <w:rFonts w:ascii="Calibri" w:hAnsi="Calibri"/>
                <w:color w:val="2D3748"/>
                <w:sz w:val="16"/>
              </w:rPr>
              <w:t>Retrieves official ICMR and MoHFW first-aid clinical protocols.</w:t>
            </w:r>
          </w:p>
        </w:tc>
      </w:tr>
      <w:tr>
        <w:tc>
          <w:tcPr>
            <w:tcW w:type="dxa" w:w="2340"/>
            <w:tcMar>
              <w:top w:w="60" w:type="dxa"/>
              <w:bottom w:w="60" w:type="dxa"/>
              <w:left w:w="80" w:type="dxa"/>
              <w:right w:w="80" w:type="dxa"/>
            </w:tcMar>
            <w:shd w:fill="FFFFFF"/>
          </w:tcPr>
          <w:p>
            <w:pPr>
              <w:spacing w:before="0" w:after="0" w:line="252" w:lineRule="auto"/>
            </w:pPr>
            <w:r>
              <w:rPr>
                <w:rFonts w:ascii="Calibri" w:hAnsi="Calibri"/>
                <w:color w:val="2D3748"/>
                <w:sz w:val="16"/>
              </w:rPr>
              <w:t>Downstream Handlers</w:t>
            </w:r>
          </w:p>
        </w:tc>
        <w:tc>
          <w:tcPr>
            <w:tcW w:type="dxa" w:w="2340"/>
            <w:tcMar>
              <w:top w:w="60" w:type="dxa"/>
              <w:bottom w:w="60" w:type="dxa"/>
              <w:left w:w="80" w:type="dxa"/>
              <w:right w:w="80" w:type="dxa"/>
            </w:tcMar>
            <w:shd w:fill="FFFFFF"/>
          </w:tcPr>
          <w:p>
            <w:pPr>
              <w:spacing w:before="0" w:after="0" w:line="252" w:lineRule="auto"/>
            </w:pPr>
            <w:r>
              <w:rPr>
                <w:rFonts w:ascii="Calibri" w:hAnsi="Calibri"/>
                <w:color w:val="2D3748"/>
                <w:sz w:val="16"/>
              </w:rPr>
              <w:t>Vector DB (Qdrant)</w:t>
            </w:r>
          </w:p>
        </w:tc>
        <w:tc>
          <w:tcPr>
            <w:tcW w:type="dxa" w:w="2340"/>
            <w:tcMar>
              <w:top w:w="60" w:type="dxa"/>
              <w:bottom w:w="60" w:type="dxa"/>
              <w:left w:w="80" w:type="dxa"/>
              <w:right w:w="80" w:type="dxa"/>
            </w:tcMar>
            <w:shd w:fill="FFFFFF"/>
          </w:tcPr>
          <w:p>
            <w:pPr>
              <w:spacing w:before="0" w:after="0" w:line="252" w:lineRule="auto"/>
            </w:pPr>
            <w:r>
              <w:rPr>
                <w:rFonts w:ascii="Calibri" w:hAnsi="Calibri"/>
                <w:color w:val="2D3748"/>
                <w:sz w:val="16"/>
              </w:rPr>
              <w:t>Qdrant Vector Engine</w:t>
            </w:r>
          </w:p>
        </w:tc>
        <w:tc>
          <w:tcPr>
            <w:tcW w:type="dxa" w:w="2340"/>
            <w:tcMar>
              <w:top w:w="60" w:type="dxa"/>
              <w:bottom w:w="60" w:type="dxa"/>
              <w:left w:w="80" w:type="dxa"/>
              <w:right w:w="80" w:type="dxa"/>
            </w:tcMar>
            <w:shd w:fill="FFFFFF"/>
          </w:tcPr>
          <w:p>
            <w:pPr>
              <w:spacing w:before="0" w:after="0" w:line="252" w:lineRule="auto"/>
            </w:pPr>
            <w:r>
              <w:rPr>
                <w:rFonts w:ascii="Calibri" w:hAnsi="Calibri"/>
                <w:color w:val="2D3748"/>
                <w:sz w:val="16"/>
              </w:rPr>
              <w:t>Hybrid semantic search over Ayushman Bharat (PM-JAY) &amp; state health schemes.</w:t>
            </w:r>
          </w:p>
        </w:tc>
      </w:tr>
      <w:tr>
        <w:tc>
          <w:tcPr>
            <w:tcW w:type="dxa" w:w="2340"/>
            <w:tcMar>
              <w:top w:w="60" w:type="dxa"/>
              <w:bottom w:w="60" w:type="dxa"/>
              <w:left w:w="80" w:type="dxa"/>
              <w:right w:w="80" w:type="dxa"/>
            </w:tcMar>
            <w:shd w:fill="F7FAFC"/>
          </w:tcPr>
          <w:p>
            <w:pPr>
              <w:spacing w:before="0" w:after="0" w:line="252" w:lineRule="auto"/>
            </w:pPr>
            <w:r>
              <w:rPr>
                <w:rFonts w:ascii="Calibri" w:hAnsi="Calibri"/>
                <w:color w:val="2D3748"/>
                <w:sz w:val="16"/>
              </w:rPr>
              <w:t>Convergence &amp; Egress</w:t>
            </w:r>
          </w:p>
        </w:tc>
        <w:tc>
          <w:tcPr>
            <w:tcW w:type="dxa" w:w="2340"/>
            <w:tcMar>
              <w:top w:w="60" w:type="dxa"/>
              <w:bottom w:w="60" w:type="dxa"/>
              <w:left w:w="80" w:type="dxa"/>
              <w:right w:w="80" w:type="dxa"/>
            </w:tcMar>
            <w:shd w:fill="F7FAFC"/>
          </w:tcPr>
          <w:p>
            <w:pPr>
              <w:spacing w:before="0" w:after="0" w:line="252" w:lineRule="auto"/>
            </w:pPr>
            <w:r>
              <w:rPr>
                <w:rFonts w:ascii="Calibri" w:hAnsi="Calibri"/>
                <w:color w:val="2D3748"/>
                <w:sz w:val="16"/>
              </w:rPr>
              <w:t>Context Synthesizer</w:t>
            </w:r>
          </w:p>
        </w:tc>
        <w:tc>
          <w:tcPr>
            <w:tcW w:type="dxa" w:w="2340"/>
            <w:tcMar>
              <w:top w:w="60" w:type="dxa"/>
              <w:bottom w:w="60" w:type="dxa"/>
              <w:left w:w="80" w:type="dxa"/>
              <w:right w:w="80" w:type="dxa"/>
            </w:tcMar>
            <w:shd w:fill="F7FAFC"/>
          </w:tcPr>
          <w:p>
            <w:pPr>
              <w:spacing w:before="0" w:after="0" w:line="252" w:lineRule="auto"/>
            </w:pPr>
            <w:r>
              <w:rPr>
                <w:rFonts w:ascii="Calibri" w:hAnsi="Calibri"/>
                <w:color w:val="2D3748"/>
                <w:sz w:val="16"/>
              </w:rPr>
              <w:t>Context Merging Buffer</w:t>
            </w:r>
          </w:p>
        </w:tc>
        <w:tc>
          <w:tcPr>
            <w:tcW w:type="dxa" w:w="2340"/>
            <w:tcMar>
              <w:top w:w="60" w:type="dxa"/>
              <w:bottom w:w="60" w:type="dxa"/>
              <w:left w:w="80" w:type="dxa"/>
              <w:right w:w="80" w:type="dxa"/>
            </w:tcMar>
            <w:shd w:fill="F7FAFC"/>
          </w:tcPr>
          <w:p>
            <w:pPr>
              <w:spacing w:before="0" w:after="0" w:line="252" w:lineRule="auto"/>
            </w:pPr>
            <w:r>
              <w:rPr>
                <w:rFonts w:ascii="Calibri" w:hAnsi="Calibri"/>
                <w:color w:val="2D3748"/>
                <w:sz w:val="16"/>
              </w:rPr>
              <w:t>Aggregates OCR vitals, RAG chunks, and spatial records into structured prompt.</w:t>
            </w:r>
          </w:p>
        </w:tc>
      </w:tr>
      <w:tr>
        <w:tc>
          <w:tcPr>
            <w:tcW w:type="dxa" w:w="2340"/>
            <w:tcMar>
              <w:top w:w="60" w:type="dxa"/>
              <w:bottom w:w="60" w:type="dxa"/>
              <w:left w:w="80" w:type="dxa"/>
              <w:right w:w="80" w:type="dxa"/>
            </w:tcMar>
            <w:shd w:fill="FFFFFF"/>
          </w:tcPr>
          <w:p>
            <w:pPr>
              <w:spacing w:before="0" w:after="0" w:line="252" w:lineRule="auto"/>
            </w:pPr>
            <w:r>
              <w:rPr>
                <w:rFonts w:ascii="Calibri" w:hAnsi="Calibri"/>
                <w:color w:val="2D3748"/>
                <w:sz w:val="16"/>
              </w:rPr>
              <w:t>Convergence &amp; Egress</w:t>
            </w:r>
          </w:p>
        </w:tc>
        <w:tc>
          <w:tcPr>
            <w:tcW w:type="dxa" w:w="2340"/>
            <w:tcMar>
              <w:top w:w="60" w:type="dxa"/>
              <w:bottom w:w="60" w:type="dxa"/>
              <w:left w:w="80" w:type="dxa"/>
              <w:right w:w="80" w:type="dxa"/>
            </w:tcMar>
            <w:shd w:fill="FFFFFF"/>
          </w:tcPr>
          <w:p>
            <w:pPr>
              <w:spacing w:before="0" w:after="0" w:line="252" w:lineRule="auto"/>
            </w:pPr>
            <w:r>
              <w:rPr>
                <w:rFonts w:ascii="Calibri" w:hAnsi="Calibri"/>
                <w:color w:val="2D3748"/>
                <w:sz w:val="16"/>
              </w:rPr>
              <w:t>AarogyaMitra Qwen LLM</w:t>
            </w:r>
          </w:p>
        </w:tc>
        <w:tc>
          <w:tcPr>
            <w:tcW w:type="dxa" w:w="2340"/>
            <w:tcMar>
              <w:top w:w="60" w:type="dxa"/>
              <w:bottom w:w="60" w:type="dxa"/>
              <w:left w:w="80" w:type="dxa"/>
              <w:right w:w="80" w:type="dxa"/>
            </w:tcMar>
            <w:shd w:fill="FFFFFF"/>
          </w:tcPr>
          <w:p>
            <w:pPr>
              <w:spacing w:before="0" w:after="0" w:line="252" w:lineRule="auto"/>
            </w:pPr>
            <w:r>
              <w:rPr>
                <w:rFonts w:ascii="Calibri" w:hAnsi="Calibri"/>
                <w:color w:val="2D3748"/>
                <w:sz w:val="16"/>
              </w:rPr>
              <w:t>Local Qwen 3.5 2B (GGUF)</w:t>
            </w:r>
          </w:p>
        </w:tc>
        <w:tc>
          <w:tcPr>
            <w:tcW w:type="dxa" w:w="2340"/>
            <w:tcMar>
              <w:top w:w="60" w:type="dxa"/>
              <w:bottom w:w="60" w:type="dxa"/>
              <w:left w:w="80" w:type="dxa"/>
              <w:right w:w="80" w:type="dxa"/>
            </w:tcMar>
            <w:shd w:fill="FFFFFF"/>
          </w:tcPr>
          <w:p>
            <w:pPr>
              <w:spacing w:before="0" w:after="0" w:line="252" w:lineRule="auto"/>
            </w:pPr>
            <w:r>
              <w:rPr>
                <w:rFonts w:ascii="Calibri" w:hAnsi="Calibri"/>
                <w:color w:val="2D3748"/>
                <w:sz w:val="16"/>
              </w:rPr>
              <w:t>Generates empathetic, concise (&lt;120 words), medically safe clinical response.</w:t>
            </w:r>
          </w:p>
        </w:tc>
      </w:tr>
      <w:tr>
        <w:tc>
          <w:tcPr>
            <w:tcW w:type="dxa" w:w="2340"/>
            <w:tcMar>
              <w:top w:w="60" w:type="dxa"/>
              <w:bottom w:w="60" w:type="dxa"/>
              <w:left w:w="80" w:type="dxa"/>
              <w:right w:w="80" w:type="dxa"/>
            </w:tcMar>
            <w:shd w:fill="F7FAFC"/>
          </w:tcPr>
          <w:p>
            <w:pPr>
              <w:spacing w:before="0" w:after="0" w:line="252" w:lineRule="auto"/>
            </w:pPr>
            <w:r>
              <w:rPr>
                <w:rFonts w:ascii="Calibri" w:hAnsi="Calibri"/>
                <w:color w:val="2D3748"/>
                <w:sz w:val="16"/>
              </w:rPr>
              <w:t>Convergence &amp; Egress</w:t>
            </w:r>
          </w:p>
        </w:tc>
        <w:tc>
          <w:tcPr>
            <w:tcW w:type="dxa" w:w="2340"/>
            <w:tcMar>
              <w:top w:w="60" w:type="dxa"/>
              <w:bottom w:w="60" w:type="dxa"/>
              <w:left w:w="80" w:type="dxa"/>
              <w:right w:w="80" w:type="dxa"/>
            </w:tcMar>
            <w:shd w:fill="F7FAFC"/>
          </w:tcPr>
          <w:p>
            <w:pPr>
              <w:spacing w:before="0" w:after="0" w:line="252" w:lineRule="auto"/>
            </w:pPr>
            <w:r>
              <w:rPr>
                <w:rFonts w:ascii="Calibri" w:hAnsi="Calibri"/>
                <w:color w:val="2D3748"/>
                <w:sz w:val="16"/>
              </w:rPr>
              <w:t>CTranslate2 Reverse</w:t>
            </w:r>
          </w:p>
        </w:tc>
        <w:tc>
          <w:tcPr>
            <w:tcW w:type="dxa" w:w="2340"/>
            <w:tcMar>
              <w:top w:w="60" w:type="dxa"/>
              <w:bottom w:w="60" w:type="dxa"/>
              <w:left w:w="80" w:type="dxa"/>
              <w:right w:w="80" w:type="dxa"/>
            </w:tcMar>
            <w:shd w:fill="F7FAFC"/>
          </w:tcPr>
          <w:p>
            <w:pPr>
              <w:spacing w:before="0" w:after="0" w:line="252" w:lineRule="auto"/>
            </w:pPr>
            <w:r>
              <w:rPr>
                <w:rFonts w:ascii="Calibri" w:hAnsi="Calibri"/>
                <w:color w:val="2D3748"/>
                <w:sz w:val="16"/>
              </w:rPr>
              <w:t>CTranslate2 NLLB-200</w:t>
            </w:r>
          </w:p>
        </w:tc>
        <w:tc>
          <w:tcPr>
            <w:tcW w:type="dxa" w:w="2340"/>
            <w:tcMar>
              <w:top w:w="60" w:type="dxa"/>
              <w:bottom w:w="60" w:type="dxa"/>
              <w:left w:w="80" w:type="dxa"/>
              <w:right w:w="80" w:type="dxa"/>
            </w:tcMar>
            <w:shd w:fill="F7FAFC"/>
          </w:tcPr>
          <w:p>
            <w:pPr>
              <w:spacing w:before="0" w:after="0" w:line="252" w:lineRule="auto"/>
            </w:pPr>
            <w:r>
              <w:rPr>
                <w:rFonts w:ascii="Calibri" w:hAnsi="Calibri"/>
                <w:color w:val="2D3748"/>
                <w:sz w:val="16"/>
              </w:rPr>
              <w:t>Translates synthesized English answer back to patient's native regional language.</w:t>
            </w:r>
          </w:p>
        </w:tc>
      </w:tr>
      <w:tr>
        <w:tc>
          <w:tcPr>
            <w:tcW w:type="dxa" w:w="2340"/>
            <w:tcMar>
              <w:top w:w="60" w:type="dxa"/>
              <w:bottom w:w="60" w:type="dxa"/>
              <w:left w:w="80" w:type="dxa"/>
              <w:right w:w="80" w:type="dxa"/>
            </w:tcMar>
            <w:shd w:fill="FFFFFF"/>
          </w:tcPr>
          <w:p>
            <w:pPr>
              <w:spacing w:before="0" w:after="0" w:line="252" w:lineRule="auto"/>
            </w:pPr>
            <w:r>
              <w:rPr>
                <w:rFonts w:ascii="Calibri" w:hAnsi="Calibri"/>
                <w:color w:val="2D3748"/>
                <w:sz w:val="16"/>
              </w:rPr>
              <w:t>Convergence &amp; Egress</w:t>
            </w:r>
          </w:p>
        </w:tc>
        <w:tc>
          <w:tcPr>
            <w:tcW w:type="dxa" w:w="2340"/>
            <w:tcMar>
              <w:top w:w="60" w:type="dxa"/>
              <w:bottom w:w="60" w:type="dxa"/>
              <w:left w:w="80" w:type="dxa"/>
              <w:right w:w="80" w:type="dxa"/>
            </w:tcMar>
            <w:shd w:fill="FFFFFF"/>
          </w:tcPr>
          <w:p>
            <w:pPr>
              <w:spacing w:before="0" w:after="0" w:line="252" w:lineRule="auto"/>
            </w:pPr>
            <w:r>
              <w:rPr>
                <w:rFonts w:ascii="Calibri" w:hAnsi="Calibri"/>
                <w:color w:val="2D3748"/>
                <w:sz w:val="16"/>
              </w:rPr>
              <w:t>Meta MMS VITS ONNX</w:t>
            </w:r>
          </w:p>
        </w:tc>
        <w:tc>
          <w:tcPr>
            <w:tcW w:type="dxa" w:w="2340"/>
            <w:tcMar>
              <w:top w:w="60" w:type="dxa"/>
              <w:bottom w:w="60" w:type="dxa"/>
              <w:left w:w="80" w:type="dxa"/>
              <w:right w:w="80" w:type="dxa"/>
            </w:tcMar>
            <w:shd w:fill="FFFFFF"/>
          </w:tcPr>
          <w:p>
            <w:pPr>
              <w:spacing w:before="0" w:after="0" w:line="252" w:lineRule="auto"/>
            </w:pPr>
            <w:r>
              <w:rPr>
                <w:rFonts w:ascii="Calibri" w:hAnsi="Calibri"/>
                <w:color w:val="2D3748"/>
                <w:sz w:val="16"/>
              </w:rPr>
              <w:t>ONNX Runtime (Pure CPU)</w:t>
            </w:r>
          </w:p>
        </w:tc>
        <w:tc>
          <w:tcPr>
            <w:tcW w:type="dxa" w:w="2340"/>
            <w:tcMar>
              <w:top w:w="60" w:type="dxa"/>
              <w:bottom w:w="60" w:type="dxa"/>
              <w:left w:w="80" w:type="dxa"/>
              <w:right w:w="80" w:type="dxa"/>
            </w:tcMar>
            <w:shd w:fill="FFFFFF"/>
          </w:tcPr>
          <w:p>
            <w:pPr>
              <w:spacing w:before="0" w:after="0" w:line="252" w:lineRule="auto"/>
            </w:pPr>
            <w:r>
              <w:rPr>
                <w:rFonts w:ascii="Calibri" w:hAnsi="Calibri"/>
                <w:color w:val="2D3748"/>
                <w:sz w:val="16"/>
              </w:rPr>
              <w:t>Synthesizes regional Indic speech audio stream dispatched back to WhatsApp.</w:t>
            </w:r>
          </w:p>
        </w:tc>
      </w:tr>
    </w:tbl>
    <w:p>
      <w:pPr>
        <w:spacing w:after="200"/>
      </w:pPr>
    </w:p>
    <w:p>
      <w:pPr>
        <w:pStyle w:val="Heading1"/>
        <w:keepNext/>
        <w:spacing w:before="320" w:after="120"/>
      </w:pPr>
      <w:r>
        <w:rPr>
          <w:rFonts w:ascii="Calibri" w:hAnsi="Calibri"/>
          <w:b/>
          <w:color w:val="1A365D"/>
          <w:sz w:val="32"/>
        </w:rPr>
        <w:t>Part 3: Professional Video Demo Narration Script</w:t>
      </w:r>
    </w:p>
    <w:p>
      <w:pPr>
        <w:spacing w:before="0" w:after="120" w:line="276" w:lineRule="auto"/>
      </w:pPr>
      <w:r>
        <w:rPr>
          <w:rFonts w:ascii="Calibri" w:hAnsi="Calibri"/>
          <w:b/>
          <w:color w:val="1A365D"/>
          <w:sz w:val="20"/>
        </w:rPr>
        <w:t xml:space="preserve">Presenter Note: </w:t>
      </w:r>
      <w:r>
        <w:rPr>
          <w:rFonts w:ascii="Calibri" w:hAnsi="Calibri"/>
          <w:color w:val="2D3748"/>
          <w:sz w:val="20"/>
        </w:rPr>
        <w:t>Use this word-for-word spoken narration for your presentation video walkthrough. The text includes visual cues indicating where the screen should zoom and pan.</w:t>
      </w:r>
    </w:p>
    <w:p>
      <w:pPr>
        <w:pStyle w:val="Heading2"/>
        <w:keepNext/>
        <w:spacing w:before="240" w:after="80"/>
      </w:pPr>
      <w:r>
        <w:rPr>
          <w:rFonts w:ascii="Calibri" w:hAnsi="Calibri"/>
          <w:b/>
          <w:color w:val="2B6CB0"/>
          <w:sz w:val="26"/>
        </w:rPr>
        <w:t>Scene 1: Ingestion &amp; Dispatch [0:00 – 0:18]</w:t>
      </w:r>
    </w:p>
    <w:p>
      <w:pPr>
        <w:spacing w:before="0" w:after="120" w:line="276" w:lineRule="auto"/>
      </w:pPr>
      <w:r>
        <w:rPr>
          <w:rFonts w:ascii="Calibri" w:hAnsi="Calibri"/>
          <w:b/>
          <w:color w:val="1A365D"/>
          <w:sz w:val="20"/>
        </w:rPr>
        <w:t xml:space="preserve">[Visual Cue]: </w:t>
      </w:r>
      <w:r>
        <w:rPr>
          <w:rFonts w:ascii="Calibri" w:hAnsi="Calibri"/>
          <w:color w:val="2D3748"/>
          <w:sz w:val="20"/>
        </w:rPr>
        <w:t>Zoom in on the left Ingestion &amp; Dispatch box. Highlight the Webhook Trigger and MIME Switch nodes.</w:t>
      </w:r>
    </w:p>
    <w:p>
      <w:pPr>
        <w:spacing w:before="0" w:after="120" w:line="276" w:lineRule="auto"/>
      </w:pPr>
      <w:r>
        <w:rPr>
          <w:rFonts w:ascii="Calibri" w:hAnsi="Calibri"/>
          <w:b/>
          <w:color w:val="1A365D"/>
          <w:sz w:val="20"/>
        </w:rPr>
        <w:t xml:space="preserve">[Spoken Narration]: </w:t>
      </w:r>
      <w:r>
        <w:rPr>
          <w:rFonts w:ascii="Calibri" w:hAnsi="Calibri"/>
          <w:color w:val="2D3748"/>
          <w:sz w:val="20"/>
        </w:rPr>
        <w:t>"Welcome to the architectural walkthrough of AarogyaMitra—an edge-optimized, multilingual healthcare intelligence platform built for rural India.</w:t>
        <w:br/>
        <w:br/>
        <w:t>The pipeline begins at our Ingestion Layer. When a patient sends a message over WhatsApp or our mobile client, our Webhook Trigger captures the payload and routes it through an intelligent MIME Switch.</w:t>
        <w:br/>
        <w:br/>
        <w:t>If the patient sends text or voice notes, it routes to our Conversational NLP Engine. If they upload a handwritten doctor prescription or a lab report, it routes directly to our Document and Vision Service."</w:t>
      </w:r>
    </w:p>
    <w:p>
      <w:pPr>
        <w:pStyle w:val="Heading2"/>
        <w:keepNext/>
        <w:spacing w:before="240" w:after="80"/>
      </w:pPr>
      <w:r>
        <w:rPr>
          <w:rFonts w:ascii="Calibri" w:hAnsi="Calibri"/>
          <w:b/>
          <w:color w:val="2B6CB0"/>
          <w:sz w:val="26"/>
        </w:rPr>
        <w:t>Scene 2: Conversational NLP Engine [0:18 – 0:52]</w:t>
      </w:r>
    </w:p>
    <w:p>
      <w:pPr>
        <w:spacing w:before="0" w:after="120" w:line="276" w:lineRule="auto"/>
      </w:pPr>
      <w:r>
        <w:rPr>
          <w:rFonts w:ascii="Calibri" w:hAnsi="Calibri"/>
          <w:b/>
          <w:color w:val="1A365D"/>
          <w:sz w:val="20"/>
        </w:rPr>
        <w:t xml:space="preserve">[Visual Cue]: </w:t>
      </w:r>
      <w:r>
        <w:rPr>
          <w:rFonts w:ascii="Calibri" w:hAnsi="Calibri"/>
          <w:color w:val="2D3748"/>
          <w:sz w:val="20"/>
        </w:rPr>
        <w:t>Pan up to the green Phase 1: Conversational NLP Engine box. Trace the path through IndicLID -&gt; IndicXlit -&gt; CTranslate2 -&gt; Laya.</w:t>
      </w:r>
    </w:p>
    <w:p>
      <w:pPr>
        <w:spacing w:before="0" w:after="120" w:line="276" w:lineRule="auto"/>
      </w:pPr>
      <w:r>
        <w:rPr>
          <w:rFonts w:ascii="Calibri" w:hAnsi="Calibri"/>
          <w:b/>
          <w:color w:val="1A365D"/>
          <w:sz w:val="20"/>
        </w:rPr>
        <w:t xml:space="preserve">[Spoken Narration]: </w:t>
      </w:r>
      <w:r>
        <w:rPr>
          <w:rFonts w:ascii="Calibri" w:hAnsi="Calibri"/>
          <w:color w:val="2D3748"/>
          <w:sz w:val="20"/>
        </w:rPr>
        <w:t>"In the NLP phase, we tackle India's massive linguistic diversity.</w:t>
        <w:br/>
        <w:br/>
        <w:t>First, IndicLID identifies the language and script across 22 scheduled Indian languages. If the user texts in romanized dialect—like Hinglish or Banglish—our IndicXlit engine transliterates it back to the native Indic script.</w:t>
        <w:br/>
        <w:br/>
        <w:t>Next, the native text passes through CTranslate2-accelerated NLLB-200, translating the regional query into English with sub-second CPU latency.</w:t>
        <w:br/>
        <w:br/>
        <w:t>The translated query then hits our Laya Intent Classifier—a fine-tuned, quantized ModernBERT System-1 decision model. In under 120 milliseconds, Laya deterministically categorizes the query into one of six high-stakes healthcare classes."</w:t>
      </w:r>
    </w:p>
    <w:p>
      <w:pPr>
        <w:pStyle w:val="Heading2"/>
        <w:keepNext/>
        <w:spacing w:before="240" w:after="80"/>
      </w:pPr>
      <w:r>
        <w:rPr>
          <w:rFonts w:ascii="Calibri" w:hAnsi="Calibri"/>
          <w:b/>
          <w:color w:val="2B6CB0"/>
          <w:sz w:val="26"/>
        </w:rPr>
        <w:t>Scene 3: Document &amp; Vision Service [0:52 – 1:18]</w:t>
      </w:r>
    </w:p>
    <w:p>
      <w:pPr>
        <w:spacing w:before="0" w:after="120" w:line="276" w:lineRule="auto"/>
      </w:pPr>
      <w:r>
        <w:rPr>
          <w:rFonts w:ascii="Calibri" w:hAnsi="Calibri"/>
          <w:b/>
          <w:color w:val="1A365D"/>
          <w:sz w:val="20"/>
        </w:rPr>
        <w:t xml:space="preserve">[Visual Cue]: </w:t>
      </w:r>
      <w:r>
        <w:rPr>
          <w:rFonts w:ascii="Calibri" w:hAnsi="Calibri"/>
          <w:color w:val="2D3748"/>
          <w:sz w:val="20"/>
        </w:rPr>
        <w:t>Pan down to the blue Phase 2: Document &amp; Vision Service box. Show the split between PDF parsing and Qwen VLM Vision -&gt; Lexicon Matcher.</w:t>
      </w:r>
    </w:p>
    <w:p>
      <w:pPr>
        <w:spacing w:before="0" w:after="120" w:line="276" w:lineRule="auto"/>
      </w:pPr>
      <w:r>
        <w:rPr>
          <w:rFonts w:ascii="Calibri" w:hAnsi="Calibri"/>
          <w:b/>
          <w:color w:val="1A365D"/>
          <w:sz w:val="20"/>
        </w:rPr>
        <w:t xml:space="preserve">[Spoken Narration]: </w:t>
      </w:r>
      <w:r>
        <w:rPr>
          <w:rFonts w:ascii="Calibri" w:hAnsi="Calibri"/>
          <w:color w:val="2D3748"/>
          <w:sz w:val="20"/>
        </w:rPr>
        <w:t>"Simultaneously, if an image or document was uploaded, our Document &amp; Vision Service activates.</w:t>
        <w:br/>
        <w:br/>
        <w:t>PDF lab reports are parsed via PyMuPDF to extract tabular vitals. For handwritten doctor prescriptions, we pass the image to Qwen VLM for medical vision OCR.</w:t>
        <w:br/>
        <w:br/>
        <w:t>The extracted text is immediately cross-referenced against a Lexicon Matcher, which runs fuzzy string matching over the government Jan Aushadhi generic medicine database to identify exact salts and low-cost alternatives."</w:t>
      </w:r>
    </w:p>
    <w:p>
      <w:pPr>
        <w:pStyle w:val="Heading2"/>
        <w:keepNext/>
        <w:spacing w:before="240" w:after="80"/>
      </w:pPr>
      <w:r>
        <w:rPr>
          <w:rFonts w:ascii="Calibri" w:hAnsi="Calibri"/>
          <w:b/>
          <w:color w:val="2B6CB0"/>
          <w:sz w:val="26"/>
        </w:rPr>
        <w:t>Scene 4: Downstream Handlers &amp; Execution [1:18 – 1:45]</w:t>
      </w:r>
    </w:p>
    <w:p>
      <w:pPr>
        <w:spacing w:before="0" w:after="120" w:line="276" w:lineRule="auto"/>
      </w:pPr>
      <w:r>
        <w:rPr>
          <w:rFonts w:ascii="Calibri" w:hAnsi="Calibri"/>
          <w:b/>
          <w:color w:val="1A365D"/>
          <w:sz w:val="20"/>
        </w:rPr>
        <w:t xml:space="preserve">[Visual Cue]: </w:t>
      </w:r>
      <w:r>
        <w:rPr>
          <w:rFonts w:ascii="Calibri" w:hAnsi="Calibri"/>
          <w:color w:val="2D3748"/>
          <w:sz w:val="20"/>
        </w:rPr>
        <w:t>Pan to the purple Phase 1 Downstream Handlers box. Highlight the 5 parallel execution paths.</w:t>
      </w:r>
    </w:p>
    <w:p>
      <w:pPr>
        <w:spacing w:before="0" w:after="120" w:line="276" w:lineRule="auto"/>
      </w:pPr>
      <w:r>
        <w:rPr>
          <w:rFonts w:ascii="Calibri" w:hAnsi="Calibri"/>
          <w:b/>
          <w:color w:val="1A365D"/>
          <w:sz w:val="20"/>
        </w:rPr>
        <w:t xml:space="preserve">[Spoken Narration]: </w:t>
      </w:r>
      <w:r>
        <w:rPr>
          <w:rFonts w:ascii="Calibri" w:hAnsi="Calibri"/>
          <w:color w:val="2D3748"/>
          <w:sz w:val="20"/>
        </w:rPr>
        <w:t>"Based on Laya's intent classification, execution branches into specialized downstream handlers:</w:t>
        <w:br/>
        <w:br/>
        <w:t>1. Emergency Red Flag: Critical symptoms like cardiac arrest or snakebites bypass LLM generation entirely, instantly triggering the 108/104 emergency dialer.</w:t>
        <w:br/>
        <w:t>2. Postgres SQL Engine: Executes spatial lookups across verified Primary Health Centers, CHCs, and Jan Aushadhi stores using Ola Maps and OpenStreetMap.</w:t>
        <w:br/>
        <w:t>3. ICMR RAG Retriever: Pulls validated first-aid clinical protocols approved by the Indian Council of Medical Research.</w:t>
        <w:br/>
        <w:t>4. In-Memory Vector DB (Qdrant): Performs dense semantic retrieval over government health schemes like Ayushman Bharat (PM-JAY) and ABHA."</w:t>
      </w:r>
    </w:p>
    <w:p>
      <w:pPr>
        <w:pStyle w:val="Heading2"/>
        <w:keepNext/>
        <w:spacing w:before="240" w:after="80"/>
      </w:pPr>
      <w:r>
        <w:rPr>
          <w:rFonts w:ascii="Calibri" w:hAnsi="Calibri"/>
          <w:b/>
          <w:color w:val="2B6CB0"/>
          <w:sz w:val="26"/>
        </w:rPr>
        <w:t>Scene 5: Convergence, Localization &amp; Egress [1:45 – 2:15]</w:t>
      </w:r>
    </w:p>
    <w:p>
      <w:pPr>
        <w:spacing w:before="0" w:after="120" w:line="276" w:lineRule="auto"/>
      </w:pPr>
      <w:r>
        <w:rPr>
          <w:rFonts w:ascii="Calibri" w:hAnsi="Calibri"/>
          <w:b/>
          <w:color w:val="1A365D"/>
          <w:sz w:val="20"/>
        </w:rPr>
        <w:t xml:space="preserve">[Visual Cue]: </w:t>
      </w:r>
      <w:r>
        <w:rPr>
          <w:rFonts w:ascii="Calibri" w:hAnsi="Calibri"/>
          <w:color w:val="2D3748"/>
          <w:sz w:val="20"/>
        </w:rPr>
        <w:t>Pan to the orange Convergence &amp; Localization box. Trace lines merging into Context Synthesizer -&gt; Qwen LLM -&gt; CTranslate2 Reverse -&gt; Meta MMS VITS ONNX.</w:t>
      </w:r>
    </w:p>
    <w:p>
      <w:pPr>
        <w:spacing w:before="0" w:after="120" w:line="276" w:lineRule="auto"/>
      </w:pPr>
      <w:r>
        <w:rPr>
          <w:rFonts w:ascii="Calibri" w:hAnsi="Calibri"/>
          <w:b/>
          <w:color w:val="1A365D"/>
          <w:sz w:val="20"/>
        </w:rPr>
        <w:t xml:space="preserve">[Spoken Narration]: </w:t>
      </w:r>
      <w:r>
        <w:rPr>
          <w:rFonts w:ascii="Calibri" w:hAnsi="Calibri"/>
          <w:color w:val="2D3748"/>
          <w:sz w:val="20"/>
        </w:rPr>
        <w:t>"All extracted clinical context, retrieved scheme documents, and facility records converge into our Context Synthesizer.</w:t>
        <w:br/>
        <w:br/>
        <w:t>The synthesized prompt is passed to our local Qwen 3.5 LLM, running in quantized GGUF format for zero-cloud reliance and maximum data privacy. The model generates a concise, empathetic, and medically guarded response.</w:t>
        <w:br/>
        <w:br/>
        <w:t>Finally, in our Egress Layer, CTranslate2 Reverse translates the answer back into the patient's native tongue, while our on-device Meta MMS VITS ONNX engine synthesizes a regional voice note.</w:t>
        <w:br/>
        <w:br/>
        <w:t>In just seconds, the patient receives actionable, life-saving healthcare guidance—in their own voice, in their own language, right at the edge."</w:t>
      </w:r>
    </w:p>
    <w:p>
      <w:pPr>
        <w:pStyle w:val="Heading1"/>
        <w:keepNext/>
        <w:spacing w:before="320" w:after="120"/>
      </w:pPr>
      <w:r>
        <w:rPr>
          <w:rFonts w:ascii="Calibri" w:hAnsi="Calibri"/>
          <w:b/>
          <w:color w:val="1A365D"/>
          <w:sz w:val="32"/>
        </w:rPr>
        <w:t>Part 4: Rapid 60-Second Elevator Pitch</w:t>
      </w:r>
    </w:p>
    <w:p>
      <w:pPr>
        <w:spacing w:before="0" w:after="120" w:line="276" w:lineRule="auto"/>
      </w:pPr>
      <w:r>
        <w:rPr>
          <w:rFonts w:ascii="Calibri" w:hAnsi="Calibri"/>
          <w:b/>
          <w:color w:val="1A365D"/>
          <w:sz w:val="20"/>
        </w:rPr>
        <w:t xml:space="preserve">Short Cut Version: </w:t>
      </w:r>
      <w:r>
        <w:rPr>
          <w:rFonts w:ascii="Calibri" w:hAnsi="Calibri"/>
          <w:color w:val="2D3748"/>
          <w:sz w:val="20"/>
        </w:rPr>
        <w:t>Use this high-octane version for quick video reels, hackathon pitch rounds, or opening summaries:</w:t>
      </w:r>
    </w:p>
    <w:tbl>
      <w:tblPr>
        <w:tblW w:type="auto" w:w="0"/>
        <w:jc w:val="center"/>
        <w:tblLook w:firstColumn="1" w:firstRow="1" w:lastColumn="0" w:lastRow="0" w:noHBand="0" w:noVBand="1" w:val="04A0"/>
      </w:tblPr>
      <w:tblGrid>
        <w:gridCol w:w="9360"/>
      </w:tblGrid>
      <w:tr>
        <w:tc>
          <w:tcPr>
            <w:tcW w:type="dxa" w:w="9360"/>
            <w:shd w:fill="FDF6E2"/>
            <w:tcMar>
              <w:top w:w="140" w:type="dxa"/>
              <w:bottom w:w="140" w:type="dxa"/>
              <w:left w:w="200" w:type="dxa"/>
              <w:right w:w="200" w:type="dxa"/>
            </w:tcMar>
            <w:tcBorders>
              <w:top w:val="none"/>
              <w:left w:val="single" w:sz="24" w:space="0" w:color="D97706"/>
              <w:bottom w:val="none"/>
              <w:right w:val="none"/>
            </w:tcBorders>
          </w:tcPr>
          <w:p>
            <w:pPr>
              <w:spacing w:before="40" w:after="80"/>
            </w:pPr>
            <w:r>
              <w:rPr>
                <w:rFonts w:ascii="Calibri" w:hAnsi="Calibri"/>
                <w:b/>
                <w:color w:val="1A365D"/>
                <w:sz w:val="20"/>
              </w:rPr>
              <w:t>📌 60-SECOND RAPID ELEVATOR PITCH</w:t>
              <w:br/>
            </w:r>
            <w:r>
              <w:rPr>
                <w:rFonts w:ascii="Calibri" w:hAnsi="Calibri"/>
                <w:i/>
                <w:color w:val="2D3748"/>
                <w:sz w:val="19"/>
              </w:rPr>
              <w:t>"AarogyaMitra's end-to-end architecture turns any mobile device into a resilient, edge-native healthcare companion.</w:t>
              <w:br/>
              <w:br/>
              <w:t>Incoming patient queries are dynamically routed via an intelligent MIME switch. Text and voice notes enter our Indic NLP stack, utilizing IndicLID, IndicXlit, and CTranslate2 to normalize 22 Indian languages before hitting our sub-150ms ModernBERT System-1 Intent Router.</w:t>
              <w:br/>
              <w:br/>
              <w:t>Prescriptions and lab reports pass through Qwen VLM OCR and our Jan Aushadhi Lexicon Matcher for generic medicine substitution.</w:t>
              <w:br/>
              <w:br/>
              <w:t>Queries are executed across 5 specialized downstream handlers—from 0ms Emergency Red Flags to Qdrant Vector Retrieval for PM-JAY schemes and Postgres spatial discovery for nearby PHCs.</w:t>
              <w:br/>
              <w:br/>
              <w:t>Everything converges into a local, privacy-first Qwen LLM, localized back to the user's dialect, and spoken aloud via Meta MMS VITS ONNX.</w:t>
              <w:br/>
              <w:br/>
              <w:t>Real-time, localized, and deterministic AI—delivering equitable healthcare access to rural India."</w:t>
            </w:r>
          </w:p>
        </w:tc>
      </w:tr>
    </w:tbl>
    <w:p>
      <w:pPr>
        <w:spacing w:after="120"/>
      </w:pP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718096"/>
        <w:sz w:val="17"/>
      </w:rPr>
      <w:t>AarogyaMitra — Architecture &amp; Video Narration Guide | Confidential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