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A365D"/>
          <w:sz w:val="42"/>
        </w:rPr>
        <w:t>आरोग्यमित्र  |  AarogyaMitra</w:t>
        <w:br/>
      </w:r>
      <w:r>
        <w:rPr>
          <w:rFonts w:ascii="Calibri" w:hAnsi="Calibri"/>
          <w:b/>
          <w:color w:val="2B6CB0"/>
          <w:sz w:val="24"/>
        </w:rPr>
        <w:t>Video Demo Narration Script &amp; PPT Walkthrough Guide</w:t>
        <w:br/>
      </w:r>
      <w:r>
        <w:rPr>
          <w:rFonts w:ascii="Calibri" w:hAnsi="Calibri"/>
          <w:i/>
          <w:color w:val="718096"/>
          <w:sz w:val="18"/>
        </w:rPr>
        <w:t>Technical Deck Narration (Slides 2 to 9)  •  100% Offline Edge Deployable</w:t>
      </w:r>
    </w:p>
    <w:p>
      <w:pPr>
        <w:spacing w:after="80"/>
      </w:pPr>
    </w:p>
    <w:tbl>
      <w:tblPr>
        <w:tblW w:type="auto" w:w="0"/>
        <w:jc w:val="center"/>
        <w:tblLook w:firstColumn="1" w:firstRow="1" w:lastColumn="0" w:lastRow="0" w:noHBand="0" w:noVBand="1" w:val="04A0"/>
      </w:tblPr>
      <w:tblGrid>
        <w:gridCol w:w="9648"/>
      </w:tblGrid>
      <w:tr>
        <w:tc>
          <w:tcPr>
            <w:tcW w:type="dxa" w:w="9648"/>
            <w:shd w:fill="F0F4F8"/>
            <w:tcMar>
              <w:top w:w="120" w:type="dxa"/>
              <w:bottom w:w="120" w:type="dxa"/>
              <w:left w:w="180" w:type="dxa"/>
              <w:right w:w="180" w:type="dxa"/>
            </w:tcMar>
            <w:tcBorders>
              <w:top w:val="none"/>
              <w:left w:val="single" w:sz="24" w:space="0" w:color="1A365D"/>
              <w:bottom w:val="none"/>
              <w:right w:val="none"/>
            </w:tcBorders>
          </w:tcPr>
          <w:p>
            <w:pPr>
              <w:spacing w:before="40" w:after="80"/>
            </w:pPr>
            <w:r>
              <w:rPr>
                <w:rFonts w:ascii="Calibri" w:hAnsi="Calibri"/>
                <w:b/>
                <w:color w:val="1A365D"/>
                <w:sz w:val="20"/>
              </w:rPr>
              <w:t>📌 TECHNICAL PRESENTATION GUIDE</w:t>
              <w:br/>
            </w:r>
            <w:r>
              <w:rPr>
                <w:rFonts w:ascii="Calibri" w:hAnsi="Calibri"/>
                <w:i/>
                <w:color w:val="2D3748"/>
                <w:sz w:val="19"/>
              </w:rPr>
              <w:t>This narration script maps directly to the technical content of your presentation deck starting from the problem landscape. It excludes hackathon team specifics, focusing purely on systemic challenges, architecture pillars, the complete pipeline canvas, two-track ingestion, quantization benchmarks, working prototype scope, and clinical safety boundaries.</w:t>
            </w:r>
          </w:p>
        </w:tc>
      </w:tr>
    </w:tbl>
    <w:p>
      <w:pPr>
        <w:spacing w:after="80"/>
      </w:pPr>
    </w:p>
    <w:p>
      <w:pPr>
        <w:pStyle w:val="Heading1"/>
        <w:keepNext/>
        <w:spacing w:before="280" w:after="80"/>
      </w:pPr>
      <w:r>
        <w:rPr>
          <w:rFonts w:ascii="Calibri" w:hAnsi="Calibri"/>
          <w:b/>
          <w:color w:val="1A365D"/>
          <w:sz w:val="30"/>
        </w:rPr>
        <w:t>Slide-by-Slide Technical Narration Script (Slides 2 to 9)</w:t>
      </w:r>
    </w:p>
    <w:p>
      <w:pPr>
        <w:pStyle w:val="Heading2"/>
        <w:keepNext/>
        <w:spacing w:before="200" w:after="60"/>
      </w:pPr>
      <w:r>
        <w:rPr>
          <w:rFonts w:ascii="Calibri" w:hAnsi="Calibri"/>
          <w:b/>
          <w:color w:val="2B6CB0"/>
          <w:sz w:val="24"/>
        </w:rPr>
        <w:t>Section 1 / Slide 2: Context &amp; Systemic Challenges [0:00 – 0:35]</w:t>
      </w:r>
    </w:p>
    <w:p>
      <w:pPr>
        <w:spacing w:before="0" w:after="100" w:line="276" w:lineRule="auto"/>
      </w:pPr>
      <w:r>
        <w:rPr>
          <w:rFonts w:ascii="Calibri" w:hAnsi="Calibri"/>
          <w:b/>
          <w:color w:val="1A365D"/>
          <w:sz w:val="19"/>
        </w:rPr>
        <w:t xml:space="preserve">[Slide Focus / Visual]: </w:t>
      </w:r>
      <w:r>
        <w:rPr>
          <w:rFonts w:ascii="Calibri" w:hAnsi="Calibri"/>
          <w:color w:val="2D3748"/>
          <w:sz w:val="19"/>
        </w:rPr>
        <w:t>Open on the problem landscape: 80% CHC Vacancy, Indic Language Barrier, Physical Document Lock, and Commodity CPU Budget.</w:t>
      </w:r>
    </w:p>
    <w:p>
      <w:pPr>
        <w:spacing w:before="0" w:after="100" w:line="276" w:lineRule="auto"/>
      </w:pPr>
      <w:r>
        <w:rPr>
          <w:rFonts w:ascii="Calibri" w:hAnsi="Calibri"/>
          <w:b/>
          <w:color w:val="1A365D"/>
          <w:sz w:val="19"/>
        </w:rPr>
        <w:t xml:space="preserve">[Spoken Script]: </w:t>
      </w:r>
      <w:r>
        <w:rPr>
          <w:rFonts w:ascii="Calibri" w:hAnsi="Calibri"/>
          <w:color w:val="2D3748"/>
          <w:sz w:val="19"/>
        </w:rPr>
        <w:t>"Welcome to the walkthrough of AarogyaMitra—an edge-native, multilingual AI platform built to bridge the healthcare access divide across rural and semi-urban India.</w:t>
        <w:br/>
        <w:br/>
        <w:t>To understand why this architecture is necessary, look at the ground reality in Bharat.</w:t>
        <w:br/>
        <w:br/>
        <w:t>First, according to Ministry of Health data, there is an 80% specialist vacancy across rural Community Health Centres, forcing families to travel hours over unpaved roads for basic preliminary triage.</w:t>
        <w:br/>
        <w:br/>
        <w:t>Second, mainstream cloud LLMs fail on colloquial Indic dialects and Hinglish code-mixing, hallucinating clinical advice due to severe token fragmentation.</w:t>
        <w:br/>
        <w:br/>
        <w:t>Third, vital diagnostics remain locked inside blurry mobile photos of handwritten doctor prescriptions.</w:t>
        <w:br/>
        <w:br/>
        <w:t>Yet, over 425 million rural citizens actively use mobile messaging. AarogyaMitra bridges this chasm by delivering zero-cost, sovereign medical navigation directly on commodity edge hardware."</w:t>
      </w:r>
    </w:p>
    <w:p>
      <w:pPr>
        <w:pStyle w:val="Heading2"/>
        <w:keepNext/>
        <w:spacing w:before="200" w:after="60"/>
      </w:pPr>
      <w:r>
        <w:rPr>
          <w:rFonts w:ascii="Calibri" w:hAnsi="Calibri"/>
          <w:b/>
          <w:color w:val="2B6CB0"/>
          <w:sz w:val="24"/>
        </w:rPr>
        <w:t>Section 2 / Slide 3: Proposed Solution &amp; Core Pillars [0:35 – 1:05]</w:t>
      </w:r>
    </w:p>
    <w:p>
      <w:pPr>
        <w:spacing w:before="0" w:after="100" w:line="276" w:lineRule="auto"/>
      </w:pPr>
      <w:r>
        <w:rPr>
          <w:rFonts w:ascii="Calibri" w:hAnsi="Calibri"/>
          <w:b/>
          <w:color w:val="1A365D"/>
          <w:sz w:val="19"/>
        </w:rPr>
        <w:t xml:space="preserve">[Slide Focus / Visual]: </w:t>
      </w:r>
      <w:r>
        <w:rPr>
          <w:rFonts w:ascii="Calibri" w:hAnsi="Calibri"/>
          <w:color w:val="2D3748"/>
          <w:sz w:val="19"/>
        </w:rPr>
        <w:t>Highlight the 3 core pillars: 1. Clinical Triage Engine, 2. Indic Localization, 3. Multimodal Intake, highlighting the ~2.8 GB RAM footprint.</w:t>
      </w:r>
    </w:p>
    <w:p>
      <w:pPr>
        <w:spacing w:before="0" w:after="100" w:line="276" w:lineRule="auto"/>
      </w:pPr>
      <w:r>
        <w:rPr>
          <w:rFonts w:ascii="Calibri" w:hAnsi="Calibri"/>
          <w:b/>
          <w:color w:val="1A365D"/>
          <w:sz w:val="19"/>
        </w:rPr>
        <w:t xml:space="preserve">[Spoken Script]: </w:t>
      </w:r>
      <w:r>
        <w:rPr>
          <w:rFonts w:ascii="Calibri" w:hAnsi="Calibri"/>
          <w:color w:val="2D3748"/>
          <w:sz w:val="19"/>
        </w:rPr>
        <w:t>"Our proposed solution rests on three foundational pillars operating within a lean 2.8 gigabyte RAM budget on standard CPUs:</w:t>
        <w:br/>
        <w:br/>
        <w:t>Pillar 1 is our Clinical Triage Engine—powered by a fine-tuned Qwen 3.5 model enforcing structured risk staging and red-flag escalation.</w:t>
        <w:br/>
        <w:br/>
        <w:t>Pillar 2 is Native Indic Localization—supporting all 22 Eighth Schedule Indian languages and Romanized Hinglish via an IndicLID and CTranslate2 pipeline.</w:t>
        <w:br/>
        <w:br/>
        <w:t>Pillar 3 is Multimodal Intake—enabling deterministic parsing of PDF lab panels via PyMuPDF and handwritten prescription OCR via vision language models.</w:t>
        <w:br/>
        <w:br/>
        <w:t>Phase 1 text triage and Hinglish routing are fully active today, with our multimodal vision LoRA driving Phase 2."</w:t>
      </w:r>
    </w:p>
    <w:p>
      <w:pPr>
        <w:pStyle w:val="Heading2"/>
        <w:keepNext/>
        <w:spacing w:before="200" w:after="60"/>
      </w:pPr>
      <w:r>
        <w:rPr>
          <w:rFonts w:ascii="Calibri" w:hAnsi="Calibri"/>
          <w:b/>
          <w:color w:val="2B6CB0"/>
          <w:sz w:val="24"/>
        </w:rPr>
        <w:t>Section 3 / Slide 4: Complete Pipeline Canvas (Architecture Deep-Dive) [1:05 – 1:55]</w:t>
      </w:r>
    </w:p>
    <w:p>
      <w:pPr>
        <w:spacing w:before="0" w:after="100" w:line="276" w:lineRule="auto"/>
      </w:pPr>
      <w:r>
        <w:rPr>
          <w:rFonts w:ascii="Calibri" w:hAnsi="Calibri"/>
          <w:b/>
          <w:color w:val="1A365D"/>
          <w:sz w:val="19"/>
        </w:rPr>
        <w:t xml:space="preserve">[Slide Focus / Visual]: </w:t>
      </w:r>
      <w:r>
        <w:rPr>
          <w:rFonts w:ascii="Calibri" w:hAnsi="Calibri"/>
          <w:color w:val="2D3748"/>
          <w:sz w:val="19"/>
        </w:rPr>
        <w:t>Trace the flow from Ingestion (left) -&gt; NLP Core (top green) -&gt; Vision Service (bottom blue) -&gt; Downstream Handlers (purple) -&gt; Egress (orange).</w:t>
      </w:r>
    </w:p>
    <w:p>
      <w:pPr>
        <w:spacing w:before="0" w:after="100" w:line="276" w:lineRule="auto"/>
      </w:pPr>
      <w:r>
        <w:rPr>
          <w:rFonts w:ascii="Calibri" w:hAnsi="Calibri"/>
          <w:b/>
          <w:color w:val="1A365D"/>
          <w:sz w:val="19"/>
        </w:rPr>
        <w:t xml:space="preserve">[Spoken Script]: </w:t>
      </w:r>
      <w:r>
        <w:rPr>
          <w:rFonts w:ascii="Calibri" w:hAnsi="Calibri"/>
          <w:color w:val="2D3748"/>
          <w:sz w:val="19"/>
        </w:rPr>
        <w:t>"Here is our end-to-end Pipeline Canvas in action.</w:t>
        <w:br/>
        <w:br/>
        <w:t>Incoming patient queries hit our Webhook Trigger, and an intelligent MIME Switch splits the payload.</w:t>
        <w:br/>
        <w:br/>
        <w:t>Text and voice queries enter our Conversational NLP Engine: IndicLID detects the language, IndicXlit transliterates Hinglish, and CTranslate2 normalizes the input into English. It then hits our Laya Intent Classifier—a fine-tuned ModernBERT decision model that routes queries deterministically in under 120 milliseconds.</w:t>
        <w:br/>
        <w:br/>
        <w:t>For documents, our Vision Service uses PyMuPDF for lab PDFs and Qwen VLM for handwritten prescriptions, feeding extracted medicines into our Jan Aushadhi Lexicon Matcher for low-cost generic substitution.</w:t>
        <w:br/>
        <w:br/>
        <w:t>Queries execute across 5 specialized downstream handlers—from 0ms Emergency 108 Red-Flag short-circuits to Postgres spatial lookups and Qdrant vector retrieval over Ayushman Bharat schemes.</w:t>
        <w:br/>
        <w:br/>
        <w:t>Everything converges into our quantized local Qwen LLM, is reverse-translated into the user's native tongue, and spoken aloud via Meta MMS VITS ONNX."</w:t>
      </w:r>
    </w:p>
    <w:p>
      <w:pPr>
        <w:pStyle w:val="Heading2"/>
        <w:keepNext/>
        <w:spacing w:before="200" w:after="60"/>
      </w:pPr>
      <w:r>
        <w:rPr>
          <w:rFonts w:ascii="Calibri" w:hAnsi="Calibri"/>
          <w:b/>
          <w:color w:val="2B6CB0"/>
          <w:sz w:val="24"/>
        </w:rPr>
        <w:t>Section 4 / Slide 5: Technical Feasibility &amp; Edge Toolkit [1:55 – 2:15]</w:t>
      </w:r>
    </w:p>
    <w:p>
      <w:pPr>
        <w:spacing w:before="0" w:after="100" w:line="276" w:lineRule="auto"/>
      </w:pPr>
      <w:r>
        <w:rPr>
          <w:rFonts w:ascii="Calibri" w:hAnsi="Calibri"/>
          <w:b/>
          <w:color w:val="1A365D"/>
          <w:sz w:val="19"/>
        </w:rPr>
        <w:t xml:space="preserve">[Slide Focus / Visual]: </w:t>
      </w:r>
      <w:r>
        <w:rPr>
          <w:rFonts w:ascii="Calibri" w:hAnsi="Calibri"/>
          <w:color w:val="2D3748"/>
          <w:sz w:val="19"/>
        </w:rPr>
        <w:t>Highlight the decoupled technology stack icons: FastAPI, ModernBERT ONNX, llama.cpp, Qdrant, and MMS VITS.</w:t>
      </w:r>
    </w:p>
    <w:p>
      <w:pPr>
        <w:spacing w:before="0" w:after="100" w:line="276" w:lineRule="auto"/>
      </w:pPr>
      <w:r>
        <w:rPr>
          <w:rFonts w:ascii="Calibri" w:hAnsi="Calibri"/>
          <w:b/>
          <w:color w:val="1A365D"/>
          <w:sz w:val="19"/>
        </w:rPr>
        <w:t xml:space="preserve">[Spoken Script]: </w:t>
      </w:r>
      <w:r>
        <w:rPr>
          <w:rFonts w:ascii="Calibri" w:hAnsi="Calibri"/>
          <w:color w:val="2D3748"/>
          <w:sz w:val="19"/>
        </w:rPr>
        <w:t>"Our technology stack is fully decoupled, production-ready, and 100% cloud-independent.</w:t>
        <w:br/>
        <w:br/>
        <w:t>We achieve this by pairing async FastAPI with ONNX Runtime for CPU-accelerated intent classification, llama.cpp for local GGUF inference, and localized Qdrant in-memory vector indexing—guaranteeing smooth, responsive execution on any standard 4GB commodity machine."</w:t>
      </w:r>
    </w:p>
    <w:p>
      <w:pPr>
        <w:pStyle w:val="Heading2"/>
        <w:keepNext/>
        <w:spacing w:before="200" w:after="60"/>
      </w:pPr>
      <w:r>
        <w:rPr>
          <w:rFonts w:ascii="Calibri" w:hAnsi="Calibri"/>
          <w:b/>
          <w:color w:val="2B6CB0"/>
          <w:sz w:val="24"/>
        </w:rPr>
        <w:t>Section 5 / Slide 6: Two-Track Ingestion Architecture [2:15 – 2:45]</w:t>
      </w:r>
    </w:p>
    <w:p>
      <w:pPr>
        <w:spacing w:before="0" w:after="100" w:line="276" w:lineRule="auto"/>
      </w:pPr>
      <w:r>
        <w:rPr>
          <w:rFonts w:ascii="Calibri" w:hAnsi="Calibri"/>
          <w:b/>
          <w:color w:val="1A365D"/>
          <w:sz w:val="19"/>
        </w:rPr>
        <w:t xml:space="preserve">[Slide Focus / Visual]: </w:t>
      </w:r>
      <w:r>
        <w:rPr>
          <w:rFonts w:ascii="Calibri" w:hAnsi="Calibri"/>
          <w:color w:val="2D3748"/>
          <w:sz w:val="19"/>
        </w:rPr>
        <w:t>Compare Track A (Text &amp; Voice Core) on the left vs Track B (Document &amp; Vision Bypass) on the right.</w:t>
      </w:r>
    </w:p>
    <w:p>
      <w:pPr>
        <w:spacing w:before="0" w:after="100" w:line="276" w:lineRule="auto"/>
      </w:pPr>
      <w:r>
        <w:rPr>
          <w:rFonts w:ascii="Calibri" w:hAnsi="Calibri"/>
          <w:b/>
          <w:color w:val="1A365D"/>
          <w:sz w:val="19"/>
        </w:rPr>
        <w:t xml:space="preserve">[Spoken Script]: </w:t>
      </w:r>
      <w:r>
        <w:rPr>
          <w:rFonts w:ascii="Calibri" w:hAnsi="Calibri"/>
          <w:color w:val="2D3748"/>
          <w:sz w:val="19"/>
        </w:rPr>
        <w:t>"Diving deeper into our engineering, we implemented a Two-Track Ingestion Architecture.</w:t>
        <w:br/>
        <w:br/>
        <w:t>Track A handles conversational text and voice. Our ModernBERT Laya Router processes queries in ~35ms, immediately triggering a deterministic Red-Flag Exit for critical emergencies like snakebites or chest pain to completely eliminate LLM hallucination risk.</w:t>
        <w:br/>
        <w:br/>
        <w:t>Track B handles documents with a deterministic Laya bypass—saving 100% token overhead. PyMuPDF extracts metabolic and blood panels in under 10ms, while our prescription vision LoRA cross-references over 10,000 Indian generic drug salts."</w:t>
      </w:r>
    </w:p>
    <w:p>
      <w:pPr>
        <w:pStyle w:val="Heading2"/>
        <w:keepNext/>
        <w:spacing w:before="200" w:after="60"/>
      </w:pPr>
      <w:r>
        <w:rPr>
          <w:rFonts w:ascii="Calibri" w:hAnsi="Calibri"/>
          <w:b/>
          <w:color w:val="2B6CB0"/>
          <w:sz w:val="24"/>
        </w:rPr>
        <w:t>Section 6 / Slide 7: Quantization &amp; Edge Hardware Budget [2:45 – 3:15]</w:t>
      </w:r>
    </w:p>
    <w:p>
      <w:pPr>
        <w:spacing w:before="0" w:after="100" w:line="276" w:lineRule="auto"/>
      </w:pPr>
      <w:r>
        <w:rPr>
          <w:rFonts w:ascii="Calibri" w:hAnsi="Calibri"/>
          <w:b/>
          <w:color w:val="1A365D"/>
          <w:sz w:val="19"/>
        </w:rPr>
        <w:t xml:space="preserve">[Slide Focus / Visual]: </w:t>
      </w:r>
      <w:r>
        <w:rPr>
          <w:rFonts w:ascii="Calibri" w:hAnsi="Calibri"/>
          <w:color w:val="2D3748"/>
          <w:sz w:val="19"/>
        </w:rPr>
        <w:t>Focus on the Memory Budget Table (Total &lt;= 2.8 GB RAM) and SFT Training Metrics (Loss: 0.6385, Perplexity: 1.894).</w:t>
      </w:r>
    </w:p>
    <w:p>
      <w:pPr>
        <w:spacing w:before="0" w:after="100" w:line="276" w:lineRule="auto"/>
      </w:pPr>
      <w:r>
        <w:rPr>
          <w:rFonts w:ascii="Calibri" w:hAnsi="Calibri"/>
          <w:b/>
          <w:color w:val="1A365D"/>
          <w:sz w:val="19"/>
        </w:rPr>
        <w:t xml:space="preserve">[Spoken Script]: </w:t>
      </w:r>
      <w:r>
        <w:rPr>
          <w:rFonts w:ascii="Calibri" w:hAnsi="Calibri"/>
          <w:color w:val="2D3748"/>
          <w:sz w:val="19"/>
        </w:rPr>
        <w:t>"Let's look at the hardware budget and efficiency numbers.</w:t>
        <w:br/>
        <w:br/>
        <w:t>Our core model is fine-tuned using Parameter-Efficient LoRA on Qwen 3.5 2B, achieving an outstanding validation loss floor of 0.6385 and a clinical perplexity of 1.894.</w:t>
        <w:br/>
        <w:br/>
        <w:t>As you can see from our memory breakdown, our quantized GGUF core occupies just 1.31 GB, Laya Router takes 0.45 GB, and translation takes 0.40 GB.</w:t>
        <w:br/>
        <w:br/>
        <w:t>The entire combined pipeline consumes under 2.8 GB of RAM—meaning AarogyaMitra comfortably runs on a 5-dollar-a-month commodity CPU server or an offline village kiosk without needing a single GPU."</w:t>
      </w:r>
    </w:p>
    <w:p>
      <w:pPr>
        <w:pStyle w:val="Heading2"/>
        <w:keepNext/>
        <w:spacing w:before="200" w:after="60"/>
      </w:pPr>
      <w:r>
        <w:rPr>
          <w:rFonts w:ascii="Calibri" w:hAnsi="Calibri"/>
          <w:b/>
          <w:color w:val="2B6CB0"/>
          <w:sz w:val="24"/>
        </w:rPr>
        <w:t>Section 7 / Slide 8: Working Prototype &amp; Execution Scope [3:15 – 3:40]</w:t>
      </w:r>
    </w:p>
    <w:p>
      <w:pPr>
        <w:spacing w:before="0" w:after="100" w:line="276" w:lineRule="auto"/>
      </w:pPr>
      <w:r>
        <w:rPr>
          <w:rFonts w:ascii="Calibri" w:hAnsi="Calibri"/>
          <w:b/>
          <w:color w:val="1A365D"/>
          <w:sz w:val="19"/>
        </w:rPr>
        <w:t xml:space="preserve">[Slide Focus / Visual]: </w:t>
      </w:r>
      <w:r>
        <w:rPr>
          <w:rFonts w:ascii="Calibri" w:hAnsi="Calibri"/>
          <w:color w:val="2D3748"/>
          <w:sz w:val="19"/>
        </w:rPr>
        <w:t>Highlight the 5 green 'READY' badges: Live llama.cpp server, Async Gateway, Hybrid PIN Routing, Hinglish Normalizer, and UI.</w:t>
      </w:r>
    </w:p>
    <w:p>
      <w:pPr>
        <w:spacing w:before="0" w:after="100" w:line="276" w:lineRule="auto"/>
      </w:pPr>
      <w:r>
        <w:rPr>
          <w:rFonts w:ascii="Calibri" w:hAnsi="Calibri"/>
          <w:b/>
          <w:color w:val="1A365D"/>
          <w:sz w:val="19"/>
        </w:rPr>
        <w:t xml:space="preserve">[Spoken Script]: </w:t>
      </w:r>
      <w:r>
        <w:rPr>
          <w:rFonts w:ascii="Calibri" w:hAnsi="Calibri"/>
          <w:color w:val="2D3748"/>
          <w:sz w:val="19"/>
        </w:rPr>
        <w:t>"Our complete functional stack has been deployed and validated locally.</w:t>
        <w:br/>
        <w:br/>
        <w:t>All 5 core modules are fully operational: our live llama.cpp local server, async FastAPI gateway, regex-based Indian PIN code spatial routing, code-mixed Hinglish normalization, and our interactive telemetry verification UI showing real-time latency traces."</w:t>
      </w:r>
    </w:p>
    <w:p>
      <w:pPr>
        <w:pStyle w:val="Heading2"/>
        <w:keepNext/>
        <w:spacing w:before="200" w:after="60"/>
      </w:pPr>
      <w:r>
        <w:rPr>
          <w:rFonts w:ascii="Calibri" w:hAnsi="Calibri"/>
          <w:b/>
          <w:color w:val="2B6CB0"/>
          <w:sz w:val="24"/>
        </w:rPr>
        <w:t>Section 8 / Slide 9: Clinical Safety, Public Vision &amp; Conclusion [3:40 – 4:05]</w:t>
      </w:r>
    </w:p>
    <w:p>
      <w:pPr>
        <w:spacing w:before="0" w:after="100" w:line="276" w:lineRule="auto"/>
      </w:pPr>
      <w:r>
        <w:rPr>
          <w:rFonts w:ascii="Calibri" w:hAnsi="Calibri"/>
          <w:b/>
          <w:color w:val="1A365D"/>
          <w:sz w:val="19"/>
        </w:rPr>
        <w:t xml:space="preserve">[Slide Focus / Visual]: </w:t>
      </w:r>
      <w:r>
        <w:rPr>
          <w:rFonts w:ascii="Calibri" w:hAnsi="Calibri"/>
          <w:color w:val="2D3748"/>
          <w:sz w:val="19"/>
        </w:rPr>
        <w:t>Highlight Emergency Short-Circuit (108), Triage vs Diagnosis Boundary, ABDM/UHI Compliance, and Hugging Face Model Link.</w:t>
      </w:r>
    </w:p>
    <w:p>
      <w:pPr>
        <w:spacing w:before="0" w:after="100" w:line="276" w:lineRule="auto"/>
      </w:pPr>
      <w:r>
        <w:rPr>
          <w:rFonts w:ascii="Calibri" w:hAnsi="Calibri"/>
          <w:b/>
          <w:color w:val="1A365D"/>
          <w:sz w:val="19"/>
        </w:rPr>
        <w:t xml:space="preserve">[Spoken Script]: </w:t>
      </w:r>
      <w:r>
        <w:rPr>
          <w:rFonts w:ascii="Calibri" w:hAnsi="Calibri"/>
          <w:color w:val="2D3748"/>
          <w:sz w:val="19"/>
        </w:rPr>
        <w:t>"Finally, our safety boundaries and public health vision:</w:t>
        <w:br/>
        <w:br/>
        <w:t>AarogyaMitra enforces a strict triage boundary—it acts as an intelligent navigation companion guiding patients between Home Care, PHCs, and Tertiary hospitals, completely avoiding rogue prescription writing.</w:t>
        <w:br/>
        <w:br/>
        <w:t>It aligns with national ABDM and UHI digital health standards, and all our model weights and quantization artifacts are openly accessible on Hugging Face.</w:t>
        <w:br/>
        <w:br/>
        <w:t>Thank you. AarogyaMitra brings sovereign, edge-native, equitable healthcare to every citizen of Bharat."</w:t>
      </w:r>
    </w:p>
    <w:p>
      <w:pPr>
        <w:pStyle w:val="Heading1"/>
        <w:keepNext/>
        <w:spacing w:before="280" w:after="80"/>
      </w:pPr>
      <w:r>
        <w:rPr>
          <w:rFonts w:ascii="Calibri" w:hAnsi="Calibri"/>
          <w:b/>
          <w:color w:val="1A365D"/>
          <w:sz w:val="30"/>
        </w:rPr>
        <w:t>Rapid 90-Second Professional Pitch Script</w:t>
      </w:r>
    </w:p>
    <w:tbl>
      <w:tblPr>
        <w:tblW w:type="auto" w:w="0"/>
        <w:jc w:val="center"/>
        <w:tblLook w:firstColumn="1" w:firstRow="1" w:lastColumn="0" w:lastRow="0" w:noHBand="0" w:noVBand="1" w:val="04A0"/>
      </w:tblPr>
      <w:tblGrid>
        <w:gridCol w:w="9648"/>
      </w:tblGrid>
      <w:tr>
        <w:tc>
          <w:tcPr>
            <w:tcW w:type="dxa" w:w="9648"/>
            <w:shd w:fill="FDF6E2"/>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Calibri" w:hAnsi="Calibri"/>
                <w:b/>
                <w:color w:val="1A365D"/>
                <w:sz w:val="20"/>
              </w:rPr>
              <w:t>📌 90-SECOND EXECUTIVE DEMO SCRIPT</w:t>
              <w:br/>
            </w:r>
            <w:r>
              <w:rPr>
                <w:rFonts w:ascii="Calibri" w:hAnsi="Calibri"/>
                <w:i/>
                <w:color w:val="2D3748"/>
                <w:sz w:val="19"/>
              </w:rPr>
              <w:t>"AarogyaMitra is an edge-native, multilingual clinical triage navigation platform built for 425 million rural Indian citizens.</w:t>
              <w:br/>
              <w:br/>
              <w:t>Rural healthcare faces an 80% CHC doctor shortage and severe linguistic alienation. We solve this with a sovereign, 100% offline edge architecture running within a lean 2.8 GB RAM footprint on ordinary CPUs.</w:t>
              <w:br/>
              <w:br/>
              <w:t>Our pipeline features two intelligent tracks:</w:t>
              <w:br/>
              <w:t>Track A uses IndicLID and CTranslate2 to normalize 22 Indian languages before hitting our sub-40ms ModernBERT System-1 router for instant emergency short-circuiting.</w:t>
              <w:br/>
              <w:t>Track B parses lab PDFs via PyMuPDF in under 10ms and handwritten prescriptions via Qwen VLM, linking them to Jan Aushadhi generic substitutes.</w:t>
              <w:br/>
              <w:br/>
              <w:t>Queries execute across 5 downstream handlers—including spatial PHC discovery and Qdrant RAG over PM-JAY schemes—before being synthesized by our fine-tuned Qwen 3.5 GGUF core and spoken aloud via Meta MMS VITS ONNX.</w:t>
              <w:br/>
              <w:br/>
              <w:t>Zero cloud GPU reliance, sub-150ms intent decisions, and total ABDM compliance—bringing equitable healthcare to every corner of Bharat."</w:t>
            </w:r>
          </w:p>
        </w:tc>
      </w:tr>
    </w:tbl>
    <w:p>
      <w:pPr>
        <w:spacing w:after="8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AarogyaMitra — Architecture &amp; Video Narration Guide | Edge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