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Retail Category Analytics</w:t>
      </w:r>
    </w:p>
    <w:p>
      <w:pPr>
        <w:spacing w:after="60"/>
      </w:pPr>
      <w:r>
        <w:rPr>
          <w:i/>
          <w:iCs/>
          <w:color w:val="555555"/>
          <w:sz w:val="24"/>
          <w:szCs w:val="24"/>
        </w:rPr>
        <w:t xml:space="preserve">Where should we prioritize category investment? A SQL and Power BI analysis of revenue growth, delivery risk, and customer satisfaction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Suyash Tripathi  |  PGDM Retail Management, BIMTECH (2025–27)  |  Dataset: Brazilian E-Commerce Public Dataset by Olist (Kaggle)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200" w:before="400"/>
      </w:pPr>
      <w:r>
        <w:t xml:space="preserve">1. The Business Question</w:t>
      </w:r>
    </w:p>
    <w:p>
      <w:pPr>
        <w:spacing w:after="180"/>
      </w:pPr>
      <w:r>
        <w:t xml:space="preserve">A retail category manager has a limited budget for expanding seller partnerships and inventory investment next quarter. The question this analysis answers:</w:t>
      </w:r>
    </w:p>
    <w:p>
      <w:pPr>
        <w:spacing w:after="180"/>
      </w:pPr>
      <w:r>
        <w:rPr>
          <w:b/>
          <w:bCs/>
          <w:i/>
          <w:iCs/>
        </w:rPr>
        <w:t xml:space="preserve">Among all product categories, which combine strong revenue growth with low delivery-risk-driven customer dissatisfaction — making them safe bets for further investment — and which combine growth with operational risk that needs fixing first?</w:t>
      </w:r>
    </w:p>
    <w:p>
      <w:pPr>
        <w:spacing w:after="180"/>
      </w:pPr>
      <w:r>
        <w:t xml:space="preserve">This framing was chosen deliberately over a generic “sales dashboard”: it mirrors a real, budget-constrained decision a category or inventory manager has to make, and it requires combining revenue, logistics, and customer-satisfaction data — not just aggregating a single table.</w:t>
      </w:r>
    </w:p>
    <w:p>
      <w:pPr>
        <w:pStyle w:val="Heading1"/>
        <w:spacing w:after="200" w:before="400"/>
      </w:pPr>
      <w:r>
        <w:t xml:space="preserve">2. Dataset and Why It Fits</w:t>
      </w:r>
    </w:p>
    <w:p>
      <w:pPr>
        <w:spacing w:after="180"/>
      </w:pPr>
      <w:r>
        <w:t xml:space="preserve">The Brazilian E-Commerce Public Dataset by Olist was chosen over a single flat-file dataset (e.g. Superstore) specifically because it is genuinely relational: revenue, delivery timing, and customer reviews live in separate linked tables (orders, order items, products, category translations, sellers, and reviews). Answering the business question above required real multi-table joins — not a single SELECT against one table.</w:t>
      </w:r>
    </w:p>
    <w:p>
      <w:pPr>
        <w:pStyle w:val="Heading2"/>
        <w:spacing w:after="160" w:before="300"/>
      </w:pPr>
      <w:r>
        <w:t xml:space="preserve">Schema and modeling decisions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9 tables were built from scratch in PostgreSQL, with primary keys derived from actually verifying uniqueness in the data — not assumed from column names.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Composite primary keys were used where a single ID repeats by design: order_items (order_id + order_item_id), order_payments (order_id + payment_sequential), and order_reviews (review_id + order_id, after confirming neither column alone is unique in the source data).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Measurement and monetary fields (price, freight_value, product_weight_g, etc.) were typed as NUMERIC rather than INT to avoid silent truncation of decimals — a common but costly type mistake.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Identifier-like numbers that are never used in arithmetic (zip code prefixes) were typed as VARCHAR/TEXT rather than a numeric type, since they represent identity, not quantity.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geolocation intentionally has no primary key: no column or combination of columns is guaranteed unique in the source data, and forcing an artificial key would misrepresent the table as tracking distinct entities when it is really a reference table of coordinate samples.</w:t>
      </w:r>
    </w:p>
    <w:p>
      <w:pPr>
        <w:pStyle w:val="Heading1"/>
        <w:spacing w:after="200" w:before="400"/>
      </w:pPr>
      <w:r>
        <w:t xml:space="preserve">3. Method</w:t>
      </w:r>
    </w:p>
    <w:p>
      <w:pPr>
        <w:pStyle w:val="Heading2"/>
        <w:spacing w:after="160" w:before="300"/>
      </w:pPr>
      <w:r>
        <w:t xml:space="preserve">SQL</w:t>
      </w:r>
    </w:p>
    <w:p>
      <w:pPr>
        <w:spacing w:after="180"/>
      </w:pPr>
      <w:r>
        <w:t xml:space="preserve">All analysis was done in PostgreSQL using joins, Common Table Expressions (CTEs), and aggregate functions. The centerpiece query uses two named CTEs — one computing total revenue per category, one computing average delivery delay per category — joined together on the category name to produce a single revenue-and-delay table per category. This let two independently-built aggregations be combined without recomputing either from scratch.</w:t>
      </w:r>
    </w:p>
    <w:p>
      <w:pPr>
        <w:spacing w:after="180"/>
      </w:pPr>
      <w:r>
        <w:t xml:space="preserve">Delivery delay was calculated as:</w:t>
      </w:r>
    </w:p>
    <w:p>
      <w:pPr>
        <w:spacing w:after="180"/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delay_days = EXTRACT(EPOCH FROM (order_delivered_customer_date − order_estimated_delivery_date)) / 86400</w:t>
      </w:r>
    </w:p>
    <w:p>
      <w:pPr>
        <w:spacing w:after="180"/>
      </w:pPr>
      <w:r>
        <w:t xml:space="preserve">A negative value means the order arrived before its estimated date; a positive value means it arrived late. Orders with no delivery date (cancelled or in-transit) were explicitly excluded via a WHERE clause, rather than silently relying on AVG() to ignore NULLs — making the exclusion a visible, deliberate modeling decision rather than an implicit side effect.</w:t>
      </w:r>
    </w:p>
    <w:p>
      <w:pPr>
        <w:spacing w:after="180"/>
      </w:pPr>
      <w:r>
        <w:t xml:space="preserve">Seller-level analysis used a HAVING clause (order count &gt; 500) to exclude low-volume sellers, preventing a seller with one or two orders from producing a misleadingly extreme average.</w:t>
      </w:r>
    </w:p>
    <w:p>
      <w:pPr>
        <w:pStyle w:val="Heading2"/>
        <w:spacing w:after="160" w:before="300"/>
      </w:pPr>
      <w:r>
        <w:t xml:space="preserve">Power BI</w:t>
      </w:r>
    </w:p>
    <w:p>
      <w:pPr>
        <w:spacing w:after="180"/>
      </w:pPr>
      <w:r>
        <w:t xml:space="preserve">Power BI connects directly to the finished SQL queries (via custom SQL statements at the data-source level) rather than to the 9 raw tables. This means all relational logic — joins, filtering, aggregation — lives in SQL, and Power BI is used purely for visualization on top of already-validated results.</w:t>
      </w:r>
    </w:p>
    <w:p>
      <w:pPr>
        <w:pStyle w:val="Heading1"/>
        <w:spacing w:after="200" w:before="400"/>
      </w:pPr>
      <w:r>
        <w:t xml:space="preserve">4. Findings</w:t>
      </w:r>
    </w:p>
    <w:p>
      <w:pPr>
        <w:pStyle w:val="Heading2"/>
        <w:spacing w:after="160" w:before="300"/>
      </w:pPr>
      <w:r>
        <w:t xml:space="preserve">Finding 1 — No category concentrates revenue and delivery risk</w:t>
      </w:r>
    </w:p>
    <w:p>
      <w:pPr>
        <w:spacing w:after="180"/>
      </w:pPr>
      <w:r>
        <w:t xml:space="preserve">Revenue varies enormously across categories — from under ₹2,000 to over ₹1.25 million — but average delivery delay is remarkably flat, clustering between roughly −6 and −16 days early regardless of a category's revenue. The highest-revenue categories (health_beauty, watches_gifts, bed_bath_table, sports_leisure) all deliver comfortably 10–12 days ahead of estimate, no better or worse than low-revenue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Total Revenue</w:t>
            </w:r>
          </w:p>
        </w:tc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Avg. Delivery Delay (days)</w:t>
            </w:r>
          </w:p>
        </w:tc>
      </w:tr>
      <w:tr>
        <w:tc>
          <w:tcPr>
            <w:tcW w:type="dxa" w:w="3120"/>
          </w:tcPr>
          <w:p>
            <w:r>
              <w:t xml:space="preserve">health_beauty</w:t>
            </w:r>
          </w:p>
        </w:tc>
        <w:tc>
          <w:tcPr>
            <w:tcW w:type="dxa" w:w="3120"/>
          </w:tcPr>
          <w:p>
            <w:r>
              <w:t xml:space="preserve">1,258,681</w:t>
            </w:r>
          </w:p>
        </w:tc>
        <w:tc>
          <w:tcPr>
            <w:tcW w:type="dxa" w:w="3120"/>
          </w:tcPr>
          <w:p>
            <w:r>
              <w:t xml:space="preserve">−11.27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 xml:space="preserve">watches_gifts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1,205,006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−11.21</w:t>
            </w:r>
          </w:p>
        </w:tc>
      </w:tr>
      <w:tr>
        <w:tc>
          <w:tcPr>
            <w:tcW w:type="dxa" w:w="3120"/>
          </w:tcPr>
          <w:p>
            <w:r>
              <w:t xml:space="preserve">bed_bath_table</w:t>
            </w:r>
          </w:p>
        </w:tc>
        <w:tc>
          <w:tcPr>
            <w:tcW w:type="dxa" w:w="3120"/>
          </w:tcPr>
          <w:p>
            <w:r>
              <w:t xml:space="preserve">1,036,989</w:t>
            </w:r>
          </w:p>
        </w:tc>
        <w:tc>
          <w:tcPr>
            <w:tcW w:type="dxa" w:w="3120"/>
          </w:tcPr>
          <w:p>
            <w:r>
              <w:t xml:space="preserve">−10.96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 xml:space="preserve">sports_leisure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988,049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−11.31</w:t>
            </w:r>
          </w:p>
        </w:tc>
      </w:tr>
      <w:tr>
        <w:tc>
          <w:tcPr>
            <w:tcW w:type="dxa" w:w="3120"/>
          </w:tcPr>
          <w:p>
            <w:r>
              <w:t xml:space="preserve">arts_and_craftmanship</w:t>
            </w:r>
          </w:p>
        </w:tc>
        <w:tc>
          <w:tcPr>
            <w:tcW w:type="dxa" w:w="3120"/>
          </w:tcPr>
          <w:p>
            <w:r>
              <w:t xml:space="preserve">1,814</w:t>
            </w:r>
          </w:p>
        </w:tc>
        <w:tc>
          <w:tcPr>
            <w:tcW w:type="dxa" w:w="3120"/>
          </w:tcPr>
          <w:p>
            <w:r>
              <w:t xml:space="preserve">−6.09</w:t>
            </w:r>
          </w:p>
        </w:tc>
      </w:tr>
    </w:tbl>
    <w:p>
      <w:pPr>
        <w:spacing w:after="180"/>
      </w:pPr>
      <w:r>
        <w:rPr>
          <w:i/>
          <w:iCs/>
          <w:color w:val="666666"/>
          <w:sz w:val="18"/>
          <w:szCs w:val="18"/>
        </w:rPr>
        <w:t xml:space="preserve">(Negative = days delivered ahead of the estimated date. No category in the dataset averages a late delivery.)</w:t>
      </w:r>
    </w:p>
    <w:p>
      <w:pPr>
        <w:pStyle w:val="Heading2"/>
        <w:spacing w:after="160" w:before="300"/>
      </w:pPr>
      <w:r>
        <w:t xml:space="preserve">Finding 2 — No high-volume seller is close to being late, either</w:t>
      </w:r>
    </w:p>
    <w:p>
      <w:pPr>
        <w:spacing w:after="180"/>
      </w:pPr>
      <w:r>
        <w:t xml:space="preserve">Filtering to sellers with more than 500 delivered order-items (to remove noise from one-off outliers), the seller with the smallest average buffer still delivers 8.95 days ahead of estimate. Across this entire high-volume seller group, none averages a late delivery. Delivery risk is not concentrated in either dimension tested — category or seller — at any meaningful scale.</w:t>
      </w:r>
    </w:p>
    <w:p>
      <w:pPr>
        <w:pStyle w:val="Heading2"/>
        <w:spacing w:after="160" w:before="300"/>
      </w:pPr>
      <w:r>
        <w:t xml:space="preserve">Finding 3 — But buffer size still drives satisfaction, even within “on time”</w:t>
      </w:r>
    </w:p>
    <w:p>
      <w:pPr>
        <w:spacing w:after="180"/>
      </w:pPr>
      <w:r>
        <w:t xml:space="preserve">Grouping all delivered, reviewed orders (96,000+) by review score reveals a clear, monotonic relationship between how early an order arrived and how it was rated — despite every group in this comparison being, technically, on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Review Score</w:t>
            </w:r>
          </w:p>
        </w:tc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Avg. Delivery Delay (days)</w:t>
            </w:r>
          </w:p>
        </w:tc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Number of Reviews</w:t>
            </w:r>
          </w:p>
        </w:tc>
      </w:tr>
      <w:tr>
        <w:tc>
          <w:tcPr>
            <w:tcW w:type="dxa" w:w="3120"/>
          </w:tcPr>
          <w:p>
            <w:r>
              <w:t xml:space="preserve">1 star</w:t>
            </w:r>
          </w:p>
        </w:tc>
        <w:tc>
          <w:tcPr>
            <w:tcW w:type="dxa" w:w="3120"/>
          </w:tcPr>
          <w:p>
            <w:r>
              <w:t xml:space="preserve">−3.37</w:t>
            </w:r>
          </w:p>
        </w:tc>
        <w:tc>
          <w:tcPr>
            <w:tcW w:type="dxa" w:w="3120"/>
          </w:tcPr>
          <w:p>
            <w:r>
              <w:t xml:space="preserve">9,409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 xml:space="preserve">2 star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−7.94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2,941</w:t>
            </w:r>
          </w:p>
        </w:tc>
      </w:tr>
      <w:tr>
        <w:tc>
          <w:tcPr>
            <w:tcW w:type="dxa" w:w="3120"/>
          </w:tcPr>
          <w:p>
            <w:r>
              <w:t xml:space="preserve">3 star</w:t>
            </w:r>
          </w:p>
        </w:tc>
        <w:tc>
          <w:tcPr>
            <w:tcW w:type="dxa" w:w="3120"/>
          </w:tcPr>
          <w:p>
            <w:r>
              <w:t xml:space="preserve">−10.08</w:t>
            </w:r>
          </w:p>
        </w:tc>
        <w:tc>
          <w:tcPr>
            <w:tcW w:type="dxa" w:w="3120"/>
          </w:tcPr>
          <w:p>
            <w:r>
              <w:t xml:space="preserve">7,962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 xml:space="preserve">4 star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−11.68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18,987</w:t>
            </w:r>
          </w:p>
        </w:tc>
      </w:tr>
      <w:tr>
        <w:tc>
          <w:tcPr>
            <w:tcW w:type="dxa" w:w="3120"/>
          </w:tcPr>
          <w:p>
            <w:r>
              <w:t xml:space="preserve">5 star</w:t>
            </w:r>
          </w:p>
        </w:tc>
        <w:tc>
          <w:tcPr>
            <w:tcW w:type="dxa" w:w="3120"/>
          </w:tcPr>
          <w:p>
            <w:r>
              <w:t xml:space="preserve">−12.69</w:t>
            </w:r>
          </w:p>
        </w:tc>
        <w:tc>
          <w:tcPr>
            <w:tcW w:type="dxa" w:w="3120"/>
          </w:tcPr>
          <w:p>
            <w:r>
              <w:t xml:space="preserve">57,060</w:t>
            </w:r>
          </w:p>
        </w:tc>
      </w:tr>
    </w:tbl>
    <w:p>
      <w:pPr>
        <w:spacing w:after="180"/>
      </w:pPr>
      <w:r>
        <w:t xml:space="preserve">The gap between the average buffer behind a 1-star review and a 5-star review is roughly 9.3 days — a substantial difference that exists entirely within the “delivered early” zone. Customer satisfaction is not simply late-vs-on-time; the size of the early cushion itself matters.</w:t>
      </w:r>
    </w:p>
    <w:p>
      <w:pPr>
        <w:pStyle w:val="Heading1"/>
        <w:spacing w:after="200" w:before="400"/>
      </w:pPr>
      <w:r>
        <w:t xml:space="preserve">5. Business Recommendation</w:t>
      </w:r>
    </w:p>
    <w:p>
      <w:pPr>
        <w:spacing w:after="180"/>
      </w:pPr>
      <w:r>
        <w:t xml:space="preserve">The original hypothesis — that a specific high-growth category would show elevated delivery risk needing an operational fix — was not supported by the data. That is itself a useful, if less dramatic, finding: it means category-level inventory or seller-partnership decisions do not need to be made defensively around delivery risk, because no category or high-volume seller is currently at risk of the estimate being missed.</w:t>
      </w:r>
    </w:p>
    <w:p>
      <w:pPr>
        <w:spacing w:after="180"/>
      </w:pPr>
      <w:r>
        <w:t xml:space="preserve">The more actionable finding is about expectation-setting rather than operations: because Olist's delivery estimates carry a large, largely uniform safety margin (9–15+ days across the board), there may be room to tighten displayed delivery estimates closer to actual performance — improving the customer-facing promise without materially increasing the risk of missing it. However, Finding 3 shows this needs to be weighed carefully: shrinking the buffer could plausibly reduce review scores even among orders that remain technically on time, since satisfaction here tracks buffer size, not just the late/on-time boundary.</w:t>
      </w:r>
    </w:p>
    <w:p>
      <w:pPr>
        <w:spacing w:after="180"/>
      </w:pPr>
      <w:r>
        <w:t xml:space="preserve">Recommended next step: treat estimate-tightening as an A/B-testable question, not a blanket policy change — trial a smaller buffer on a subset of high-volume, high-reliability sellers first, and monitor review scores directly rather than assuming the on-time rate alone captures the customer impact.</w:t>
      </w:r>
    </w:p>
    <w:p>
      <w:pPr>
        <w:pStyle w:val="Heading1"/>
        <w:spacing w:after="200" w:before="400"/>
      </w:pPr>
      <w:r>
        <w:t xml:space="preserve">6. What I Would Do With Live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Re-run this analysis on a recurring (e.g. monthly) basis and alert when a growing category crosses into a higher-delay band, rather than a one-time static analysis.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 whether delivery delay varies by seller region/state rather than seller identity alone, to separate a seller-specific effect from a logistics-network effect.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Put a rupee figure on the estimate-tightening recommendation by modeling the revenue impact of a projected review-score shift, rather than treating satisfaction and revenue as separate findings.</w:t>
      </w:r>
    </w:p>
    <w:p>
      <w:pPr>
        <w:pBdr>
          <w:bottom w:val="single" w:color="999999" w:sz="6" w:space="1"/>
        </w:pBdr>
        <w:spacing w:after="240"/>
      </w:pPr>
    </w:p>
    <w:p>
      <w:pPr>
        <w:spacing w:after="180"/>
      </w:pPr>
      <w:r>
        <w:rPr>
          <w:i/>
          <w:iCs/>
          <w:color w:val="666666"/>
        </w:rPr>
        <w:t xml:space="preserve">SQL and Power BI files for this project are available in the accompanying GitHub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2026-09-12T15:06:16.112Z</dcterms:created>
  <dcterms:modified xsi:type="dcterms:W3CDTF">2026-09-12T15:06:16.122Z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