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CAPSTONE PROJECT STATUS REPORT: TASK 1 &amp; 2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Suyash Tripathi (Registration No: 23BCY10259)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Member 2 – Manual Prompt Engineering &amp; Visual Attack Specialist(As Mentioned in the document)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17,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2145665"/>
            <wp:effectExtent b="0" l="0" r="0" t="0"/>
            <wp:docPr id="20577599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Completed Work &amp; Delivered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following assets have been successfully engineered, completed independently, and are ready for integration into the central project repository.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1.1. Adversarial Prompt Library (data--folder)</w:t>
      </w:r>
      <w:r w:rsidDel="00000000" w:rsidR="00000000" w:rsidRPr="00000000">
        <w:rPr>
          <w:rtl w:val="0"/>
        </w:rPr>
        <w:t xml:space="preserve"> A comprehensive database of black-box jailbreak and visual attack prompts systematically extracted and curated from leading open-source security GitHub repositories. The curated dataset includes: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&amp; Multimodal Prompts:</w:t>
      </w:r>
      <w:r w:rsidDel="00000000" w:rsidR="00000000" w:rsidRPr="00000000">
        <w:rPr>
          <w:rtl w:val="0"/>
        </w:rPr>
        <w:t xml:space="preserve"> Extracted image-based attack prompts and visual descriptions specifically tailored to test and exploit vulnerabilities in Visual-Language Models (VLLMs).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1.2. Advanced Obfuscation Pipeline (tools--folder)</w:t>
      </w:r>
      <w:r w:rsidDel="00000000" w:rsidR="00000000" w:rsidRPr="00000000">
        <w:rPr>
          <w:rtl w:val="0"/>
        </w:rPr>
        <w:t xml:space="preserve"> A custom-built HTML based And Python-based graphical Code (utilizing CustomTkinter)  that chains text transf ormations.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Allows the team to instantly encode standard text into Base64, ROT13, Leetspeak, Hex, and Binary, or apply Homoglyph and Zero-Width character substitutions.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systematically test whether the defense middleware relies purely on keyword blocklists, and to supply Members 3 and 4 with scrambled payloads that bypass standard input filters.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Awaited Dependencies (Blocked Tasks)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following deliverables require execution or access dependencies from other team members before they can be finalized and handed over.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2.1. VLLM Visual Attack Suite </w:t>
      </w:r>
      <w:r w:rsidDel="00000000" w:rsidR="00000000" w:rsidRPr="00000000">
        <w:rPr>
          <w:rtl w:val="0"/>
        </w:rPr>
        <w:t xml:space="preserve"> Test Visual-LLMs (VLLMs) using typographic insertion and adversarial visual noise overlay.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Blocked Status:</w:t>
      </w:r>
      <w:r w:rsidDel="00000000" w:rsidR="00000000" w:rsidRPr="00000000">
        <w:rPr>
          <w:rtl w:val="0"/>
        </w:rPr>
        <w:t xml:space="preserve"> The actual deployment and testing of these visual attacks cannot proceed until Member 5 (Infrastructure) provides access to the active local LLM/VLLM runtimes.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2.2. Taxonomy Mapping Catalog </w:t>
      </w:r>
      <w:r w:rsidDel="00000000" w:rsidR="00000000" w:rsidRPr="00000000">
        <w:rPr>
          <w:rtl w:val="0"/>
        </w:rPr>
        <w:t xml:space="preserve">A standardized tracking matrix designed to log all manual red-teaming experiments.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Blocked Status:</w:t>
      </w:r>
      <w:r w:rsidDel="00000000" w:rsidR="00000000" w:rsidRPr="00000000">
        <w:rPr>
          <w:rtl w:val="0"/>
        </w:rPr>
        <w:t xml:space="preserve"> While the structural matrix is prepared, populating the final observed data is blocked until Member 3 (Defense Architecture) and Member 5 provide the protected API endpoints required to run the manual red-teaming tests.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118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118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118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1187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1187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1187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1187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1187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1187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1187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1187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1187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118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118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118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1187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1187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1187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1187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1187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1187B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27CFD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FbsgpmlMGwjStAlyHOf9mK2c5A==">CgMxLjA4AHIhMUlPWHEzMXNhaV9rLXFKaVhCLW1UV2hlRE5ON2JUaTY0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2026-08-17T17:49:00Z</dcterms:created>
  <dc:creator>Mr. Suyash Tripathi</dc:creator>
</cp:coreProperties>
</file>