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2A44"/>
          <w:sz w:val="44"/>
          <w:szCs w:val="44"/>
        </w:rPr>
        <w:t xml:space="preserve">FINPULSE</w:t>
      </w:r>
      <w:r>
        <w:rPr>
          <w:rFonts w:ascii="Calibri" w:cs="Calibri" w:eastAsia="Calibri" w:hAnsi="Calibri"/>
          <w:color w:val="E07A4F"/>
          <w:sz w:val="28"/>
          <w:szCs w:val="28"/>
        </w:rPr>
        <w:t xml:space="preserve">  |  Bank Transaction &amp; Financial Analytics</w:t>
      </w:r>
    </w:p>
    <w:p>
      <w:pPr>
        <w:spacing w:after="60"/>
      </w:pPr>
      <w:r>
        <w:rPr>
          <w:rFonts w:ascii="Calibri" w:cs="Calibri" w:eastAsia="Calibri" w:hAnsi="Calibri"/>
          <w:color w:val="5B6475"/>
          <w:sz w:val="22"/>
          <w:szCs w:val="22"/>
        </w:rPr>
        <w:t xml:space="preserve">Data Analysis Report — Cash Flow, Transaction Behaviour and Dashboard Insights</w:t>
      </w:r>
    </w:p>
    <w:p>
      <w:pPr>
        <w:pBdr>
          <w:bottom w:val="single" w:color="E07A4F" w:sz="12" w:space="6"/>
        </w:pBdr>
        <w:spacing w:after="200"/>
      </w:pPr>
      <w:r>
        <w:rPr>
          <w:rFonts w:ascii="Calibri" w:cs="Calibri" w:eastAsia="Calibri" w:hAnsi="Calibri"/>
          <w:color w:val="5B6475"/>
          <w:sz w:val="19"/>
          <w:szCs w:val="19"/>
        </w:rPr>
        <w:t xml:space="preserve">Suyash Verma   •   Python · Pandas · Power BI   •   github.com/suyashverma0/FinPulse</w:t>
      </w:r>
    </w:p>
    <w:p>
      <w:pPr>
        <w:pStyle w:val="Heading1"/>
        <w:pBdr>
          <w:bottom w:val="single" w:color="D9DCE3" w:sz="6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1. Executive Summary</w:t>
      </w:r>
    </w:p>
    <w:p>
      <w:pPr>
        <w:spacing w:after="10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FinPulse analyses 116,153 bank transactions across 10 accounts to explain how money moves in and out, when activity peaks, and where a small number of very large transactions distort the totals. The raw data was cleaned and enriched in Python, then delivered as a two-page interactive Power BI dashboard.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Headline: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deposits and withdrawals are almost perfectly balanced, with withdrawals exceeding deposits by 1.85 bn (about 0.8% of total deposits). Deposits dominate by count (53.8%), withdrawals are larger on average, and a small number of very large transactions can materially move the totals.</w:t>
      </w:r>
    </w:p>
    <w:p>
      <w:pPr>
        <w:spacing w:after="12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1928"/>
        <w:gridCol w:w="1927"/>
        <w:gridCol w:w="1927"/>
      </w:tblGrid>
      <w:tr>
        <w:tc>
          <w:tcPr>
            <w:tcW w:type="dxa" w:w="1928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FBEFE8" w:color="auto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34"/>
                <w:szCs w:val="34"/>
              </w:rPr>
              <w:t xml:space="preserve">116,153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B6475"/>
                <w:sz w:val="17"/>
                <w:szCs w:val="17"/>
              </w:rPr>
              <w:t xml:space="preserve">Transactions analysed</w:t>
            </w:r>
          </w:p>
        </w:tc>
        <w:tc>
          <w:tcPr>
            <w:tcW w:type="dxa" w:w="1928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FBEFE8" w:color="auto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34"/>
                <w:szCs w:val="34"/>
              </w:rPr>
              <w:t xml:space="preserve">238.43 bn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B6475"/>
                <w:sz w:val="17"/>
                <w:szCs w:val="17"/>
              </w:rPr>
              <w:t xml:space="preserve">Total deposits</w:t>
            </w:r>
          </w:p>
        </w:tc>
        <w:tc>
          <w:tcPr>
            <w:tcW w:type="dxa" w:w="1928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FBEFE8" w:color="auto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34"/>
                <w:szCs w:val="34"/>
              </w:rPr>
              <w:t xml:space="preserve">240.28 bn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B6475"/>
                <w:sz w:val="17"/>
                <w:szCs w:val="17"/>
              </w:rPr>
              <w:t xml:space="preserve">Total withdrawals</w:t>
            </w:r>
          </w:p>
        </w:tc>
        <w:tc>
          <w:tcPr>
            <w:tcW w:type="dxa" w:w="1927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FBEFE8" w:color="auto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3A2E"/>
                <w:sz w:val="34"/>
                <w:szCs w:val="34"/>
              </w:rPr>
              <w:t xml:space="preserve">−1.85 bn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B6475"/>
                <w:sz w:val="17"/>
                <w:szCs w:val="17"/>
              </w:rPr>
              <w:t xml:space="preserve">Net cash flow</w:t>
            </w:r>
          </w:p>
        </w:tc>
        <w:tc>
          <w:tcPr>
            <w:tcW w:type="dxa" w:w="1927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FBEFE8" w:color="auto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34"/>
                <w:szCs w:val="34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B6475"/>
                <w:sz w:val="17"/>
                <w:szCs w:val="17"/>
              </w:rPr>
              <w:t xml:space="preserve">Accounts</w:t>
            </w:r>
          </w:p>
        </w:tc>
      </w:tr>
    </w:tbl>
    <w:p>
      <w:pPr>
        <w:pStyle w:val="Heading1"/>
        <w:pBdr>
          <w:bottom w:val="single" w:color="D9DCE3" w:sz="6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2. Business Questions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How much money is deposited and withdrawn, and what is the net cash flow?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How are transactions split by type, and how does activity vary by weekday and month?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Which transactions are unusually large, and how much do they influence the totals?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Which financial variables move together?</w:t>
      </w:r>
    </w:p>
    <w:p>
      <w:pPr>
        <w:pStyle w:val="Heading1"/>
        <w:pBdr>
          <w:bottom w:val="single" w:color="D9DCE3" w:sz="6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3. Data and Method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6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Dataset</w:t>
            </w:r>
          </w:p>
        </w:tc>
        <w:tc>
          <w:tcPr>
            <w:tcW w:type="dxa" w:w="66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Synthetic banking transactions; 8 source fields (account, date, description, cheque no., value date, withdrawal, deposit, balance)</w:t>
            </w:r>
          </w:p>
        </w:tc>
      </w:tr>
      <w:t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Volume</w:t>
            </w:r>
          </w:p>
        </w:tc>
        <w:tc>
          <w:tcPr>
            <w:tcW w:type="dxa" w:w="66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116,202 raw records → 116,153 after removing 49 duplicates (0.04%)</w:t>
            </w:r>
          </w:p>
        </w:tc>
      </w:tr>
      <w:t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Cleaning</w:t>
            </w:r>
          </w:p>
        </w:tc>
        <w:tc>
          <w:tcPr>
            <w:tcW w:type="dxa" w:w="66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Duplicate check (zero remaining), dates parsed to datetime, missing deposit/withdrawal amounts set to 0</w:t>
            </w:r>
          </w:p>
        </w:tc>
      </w:tr>
      <w:t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Engineered features</w:t>
            </w:r>
          </w:p>
        </w:tc>
        <w:tc>
          <w:tcPr>
            <w:tcW w:type="dxa" w:w="66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Transaction Type (Deposit / Withdrawal / Other), Net Amount = Deposit − Withdrawal, Transaction Value = Deposit + Withdrawal, Year, Month, Day, Weekday</w:t>
            </w:r>
          </w:p>
        </w:tc>
      </w:tr>
      <w:t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Analysis</w:t>
            </w:r>
          </w:p>
        </w:tc>
        <w:tc>
          <w:tcPr>
            <w:tcW w:type="dxa" w:w="66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Aggregations by type, weekday and month; cash-flow and balance trends; 99th-percentile outlier threshold; correlation matrix</w:t>
            </w:r>
          </w:p>
        </w:tc>
      </w:tr>
      <w:t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Delivery</w:t>
            </w:r>
          </w:p>
        </w:tc>
        <w:tc>
          <w:tcPr>
            <w:tcW w:type="dxa" w:w="66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Processed CSV imported into Power BI: KPI cards, year slicer, transaction-type filtering, two report pages</w:t>
            </w:r>
          </w:p>
        </w:tc>
      </w:tr>
    </w:tbl>
    <w:p>
      <w:pPr>
        <w:pStyle w:val="Heading1"/>
        <w:pBdr>
          <w:bottom w:val="single" w:color="D9DCE3" w:sz="6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4. Key Findings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Cash flow is nearly neutral, with a slight outflow.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Total deposits of 238.43 bn against total withdrawals of 240.28 bn give a net cash flow of −1.85 bn.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Deposits lead by count; withdrawals lead by size.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There are 62,467 deposit transactions (53.80%) and 41,572 withdrawals (35.79%), while 12,114 (10.43%) carry no monetary amount. Average value per transaction works out to roughly 3.8 M for deposits and 5.8 M for withdrawals.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A few very large transactions can move the totals.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The 99th-percentile threshold is 42.05 M per transaction, against a largest deposit of 544.8 M and a largest withdrawal of 459.4 M. The biggest items include a 544.8 M deposit, a 500 M draw-down, and a 459.4 M loan recovery.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Activity follows a business-week rhythm.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Volume is highest on Monday and declines steadily through the week. Saturday runs at roughly half of Monday, and Sunday is close to zero.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Monthly net flow swings both ways.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Aggregated by calendar month, net amount ranges from about +0.5 bn (February) to about −0.95 bn (June), while deposits and withdrawals track each other closely month to month.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Net amount is driven mainly by withdrawals.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Correlation with net amount is −0.767 for withdrawals and +0.670 for deposits. Balance shows almost no linear relationship with any flow variable (|r| &lt; 0.08). Correlation indicates association, not causation.</w:t>
      </w:r>
    </w:p>
    <w:p>
      <w:pPr>
        <w:pStyle w:val="Heading1"/>
        <w:pBdr>
          <w:bottom w:val="single" w:color="D9DCE3" w:sz="6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5. Dashboard</w:t>
      </w:r>
    </w:p>
    <w:p>
      <w:pPr>
        <w:spacing w:after="10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Power BI report separates high-level monitoring from behavioural analysis. Long account identifiers are deliberately not used as chart categories, which keeps the visuals readable.</w:t>
      </w:r>
    </w:p>
    <w:p>
      <w:pPr>
        <w:keepNext/>
        <w:spacing w:after="100" w:line="276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Page 1 – Financial Overview: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ending balance, net cash flow, deposits, withdrawals and transaction count; monthly deposits vs withdrawals; monthly net amount; balance trend by year; transaction-type split.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524500" cy="3124200"/>
            <wp:effectExtent t="0" r="0" b="0" l="0"/>
            <wp:docPr id="1" name="overview.png" descr="Power BI dashboard screenshot" title="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475"/>
          <w:sz w:val="18"/>
          <w:szCs w:val="18"/>
        </w:rPr>
        <w:t xml:space="preserve">Figure 1 — Financial Overview</w:t>
      </w:r>
    </w:p>
    <w:p>
      <w:pPr>
        <w:keepNext/>
        <w:spacing w:after="100" w:line="276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Page 2 – Transaction Intelligence: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active accounts, average deposit, deposit and withdrawal counts, average transaction value; activity and type mix by weekday; average value and deposit vs withdrawal by month.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524500" cy="3095625"/>
            <wp:effectExtent t="0" r="0" b="0" l="0"/>
            <wp:docPr id="1" name="intelligence.png" descr="Power BI dashboard screenshot" title="intellige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475"/>
          <w:sz w:val="18"/>
          <w:szCs w:val="18"/>
        </w:rPr>
        <w:t xml:space="preserve">Figure 2 — Transaction Intelligence</w:t>
      </w:r>
    </w:p>
    <w:p>
      <w:pPr>
        <w:pStyle w:val="Heading1"/>
        <w:pBdr>
          <w:bottom w:val="single" w:color="D9DCE3" w:sz="6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6. Data Quality Notes and Limitations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dataset is synthetic, so findings demonstrate method and do not describe real banking behaviour.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final balance record is missing, so an overall ending balance could not be verified and is not reported here.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Monetary values are in the units recorded in the dataset; no currency conversion was applied.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analysis is descriptive. No forecasting or predictive modelling is included.</w:t>
      </w:r>
    </w:p>
    <w:p>
      <w:pPr>
        <w:pStyle w:val="Heading1"/>
        <w:pBdr>
          <w:bottom w:val="single" w:color="D9DCE3" w:sz="6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7. Recommended Next Steps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Balance reconciliation: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rebuild the running balance from transaction flows and flag breaks.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Anomaly detection: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extend the 99th-percentile rule to account-level and time-aware outlier detection.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Cash-flow forecasting: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model monthly net flow to anticipate outflow months.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Account segmentation: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profile each of the 10 accounts by frequency, size and net position.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Calibri" w:cs="Calibri" w:eastAsia="Calibri" w:hAnsi="Calibri"/>
        <w:color w:val="5B6475"/>
        <w:sz w:val="16"/>
        <w:szCs w:val="16"/>
      </w:rPr>
      <w:t xml:space="preserve">FinPulse — Bank Transaction &amp; Financial Analytics</w:t>
    </w:r>
    <w:r>
      <w:rPr>
        <w:rFonts w:ascii="Calibri" w:cs="Calibri" w:eastAsia="Calibri" w:hAnsi="Calibri"/>
        <w:color w:val="5B6475"/>
        <w:sz w:val="16"/>
        <w:szCs w:val="16"/>
      </w:rPr>
      <w:t xml:space="preserve">	Page </w:t>
    </w:r>
    <w:r>
      <w:rPr>
        <w:rFonts w:ascii="Calibri" w:cs="Calibri" w:eastAsia="Calibri" w:hAnsi="Calibri"/>
        <w:color w:val="5B64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  <w:rPr>
        <w:color w:val="E07A4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2A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f3fbdeaaef8f9771ca65f2f33096700c9d112e9.png"/><Relationship Id="rId9" Type="http://schemas.openxmlformats.org/officeDocument/2006/relationships/image" Target="media/32809c751d7173464fed186f0760f3fce2cee6e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FinPulse – Data Analysis Report</dc:title>
  <dc:creator>Suyash Verma</dc:creator>
  <cp:lastModifiedBy>Un-named</cp:lastModifiedBy>
  <cp:revision>1</cp:revision>
  <dcterms:created xsi:type="dcterms:W3CDTF">2026-09-30T19:19:57.957Z</dcterms:created>
  <dcterms:modified xsi:type="dcterms:W3CDTF">2026-09-30T19:19:57.957Z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