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Syndicated Loan Administration &amp; Agency Controls</w:t>
            </w:r>
          </w:p>
          <w:p>
            <w:pPr>
              <w:spacing w:after="120"/>
            </w:pPr>
            <w:r>
              <w:rPr>
                <w:rFonts w:ascii="Calibri" w:cs="Calibri" w:eastAsia="Calibri" w:hAnsi="Calibri"/>
                <w:color w:val="94BAF7"/>
                <w:sz w:val="22"/>
                <w:szCs w:val="22"/>
              </w:rPr>
              <w:t xml:space="preserve">Corporate &amp; Commercial Lending  |  CL-CTRL-03</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CL-CTRL-03</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Syndicated Loan Administration &amp; Agency Controls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 Sørensen, Head of Loan Agency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Ensure accurate administration of syndicated facilities where the bank acts as agent — correct calculation and distribution of interest and principal to syndicate lenders, accurate position records, and timely communication of borrower notices.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LMA (Loan Market Association) standard documentation terms</w:t>
      </w:r>
    </w:p>
    <w:p>
      <w:pPr>
        <w:pStyle w:val="ListParagraph"/>
        <w:numPr>
          <w:ilvl w:val="0"/>
          <w:numId w:val="2"/>
        </w:numPr>
        <w:spacing w:after="80"/>
      </w:pPr>
      <w:r>
        <w:rPr>
          <w:rFonts w:ascii="Calibri" w:cs="Calibri" w:eastAsia="Calibri" w:hAnsi="Calibri"/>
          <w:color w:val="1E293B"/>
          <w:sz w:val="21"/>
          <w:szCs w:val="21"/>
        </w:rPr>
        <w:t xml:space="preserve">FCA SYSC 6 — adequate systems and controls</w:t>
      </w:r>
    </w:p>
    <w:p>
      <w:pPr>
        <w:pStyle w:val="ListParagraph"/>
        <w:numPr>
          <w:ilvl w:val="0"/>
          <w:numId w:val="2"/>
        </w:numPr>
        <w:spacing w:after="80"/>
      </w:pPr>
      <w:r>
        <w:rPr>
          <w:rFonts w:ascii="Calibri" w:cs="Calibri" w:eastAsia="Calibri" w:hAnsi="Calibri"/>
          <w:color w:val="1E293B"/>
          <w:sz w:val="21"/>
          <w:szCs w:val="21"/>
        </w:rPr>
        <w:t xml:space="preserve">Client Assets (CASS) where agency holds lender funds</w:t>
      </w:r>
    </w:p>
    <w:p>
      <w:pPr>
        <w:pStyle w:val="ListParagraph"/>
        <w:numPr>
          <w:ilvl w:val="0"/>
          <w:numId w:val="2"/>
        </w:numPr>
        <w:spacing w:after="80"/>
      </w:pPr>
      <w:r>
        <w:rPr>
          <w:rFonts w:ascii="Calibri" w:cs="Calibri" w:eastAsia="Calibri" w:hAnsi="Calibri"/>
          <w:color w:val="1E293B"/>
          <w:sz w:val="21"/>
          <w:szCs w:val="21"/>
        </w:rPr>
        <w:t xml:space="preserve">Basel III — operational risk capital</w:t>
      </w:r>
    </w:p>
    <w:p>
      <w:pPr>
        <w:pStyle w:val="ListParagraph"/>
        <w:numPr>
          <w:ilvl w:val="0"/>
          <w:numId w:val="2"/>
        </w:numPr>
        <w:spacing w:after="80"/>
      </w:pPr>
      <w:r>
        <w:rPr>
          <w:rFonts w:ascii="Calibri" w:cs="Calibri" w:eastAsia="Calibri" w:hAnsi="Calibri"/>
          <w:color w:val="1E293B"/>
          <w:sz w:val="21"/>
          <w:szCs w:val="21"/>
        </w:rPr>
        <w:t xml:space="preserve">Internal Loan Agency Operating Standard LA-2024-002</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For facilities where the bank is Agent, the Loan Agency team administers drawdowns, rollovers, interest calculations, fee distributions, and lender position records. Funds flowing through the agency are reconciled daily. Borrower notices (rate-setting, repayments, covenant certificates) are distributed to syndicate lenders within LMA-specified timeframes.</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Drawdown and rollover processing per facility agreement terms</w:t>
      </w:r>
    </w:p>
    <w:p>
      <w:pPr>
        <w:pStyle w:val="ListParagraph"/>
        <w:numPr>
          <w:ilvl w:val="0"/>
          <w:numId w:val="2"/>
        </w:numPr>
        <w:spacing w:after="80"/>
      </w:pPr>
      <w:r>
        <w:rPr>
          <w:rFonts w:ascii="Calibri" w:cs="Calibri" w:eastAsia="Calibri" w:hAnsi="Calibri"/>
          <w:color w:val="1E293B"/>
          <w:sz w:val="21"/>
          <w:szCs w:val="21"/>
        </w:rPr>
        <w:t xml:space="preserve">Interest and fee calculation using agreed margin, reference rate, day-count</w:t>
      </w:r>
    </w:p>
    <w:p>
      <w:pPr>
        <w:pStyle w:val="ListParagraph"/>
        <w:numPr>
          <w:ilvl w:val="0"/>
          <w:numId w:val="2"/>
        </w:numPr>
        <w:spacing w:after="80"/>
      </w:pPr>
      <w:r>
        <w:rPr>
          <w:rFonts w:ascii="Calibri" w:cs="Calibri" w:eastAsia="Calibri" w:hAnsi="Calibri"/>
          <w:color w:val="1E293B"/>
          <w:sz w:val="21"/>
          <w:szCs w:val="21"/>
        </w:rPr>
        <w:t xml:space="preserve">Lender distribution — pro-rata allocation and same-day payment</w:t>
      </w:r>
    </w:p>
    <w:p>
      <w:pPr>
        <w:pStyle w:val="ListParagraph"/>
        <w:numPr>
          <w:ilvl w:val="0"/>
          <w:numId w:val="2"/>
        </w:numPr>
        <w:spacing w:after="80"/>
      </w:pPr>
      <w:r>
        <w:rPr>
          <w:rFonts w:ascii="Calibri" w:cs="Calibri" w:eastAsia="Calibri" w:hAnsi="Calibri"/>
          <w:color w:val="1E293B"/>
          <w:sz w:val="21"/>
          <w:szCs w:val="21"/>
        </w:rPr>
        <w:t xml:space="preserve">Position record maintenance — each lender's commitment and outstanding</w:t>
      </w:r>
    </w:p>
    <w:p>
      <w:pPr>
        <w:pStyle w:val="ListParagraph"/>
        <w:numPr>
          <w:ilvl w:val="0"/>
          <w:numId w:val="2"/>
        </w:numPr>
        <w:spacing w:after="80"/>
      </w:pPr>
      <w:r>
        <w:rPr>
          <w:rFonts w:ascii="Calibri" w:cs="Calibri" w:eastAsia="Calibri" w:hAnsi="Calibri"/>
          <w:color w:val="1E293B"/>
          <w:sz w:val="21"/>
          <w:szCs w:val="21"/>
        </w:rPr>
        <w:t xml:space="preserve">Daily agency cash reconciliation — funds in vs funds distributed</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operates effectively. Loan agency is a high-volume, deadline-driven operation where accuracy and timeliness are critical to lender relationships and the bank's reputation as an agent.</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Distribution payment errors per quarter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&gt;3 | Red: &gt;8</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Late lender distributions (vs LMA timing)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&gt;2% | Red: &gt;5%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Agency cash reconciliation breaks unresolved &gt;2 days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&gt;5 | Red: &gt;12</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Interest calculation errors detected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&gt;2 | Red: &gt;5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Borrower notice distribution within SLA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&gt;98%</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Continuous transaction processing; daily cash reconciliation; per-event notice distribution; monthly agency portfolio review.</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Loan Agency Operations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Transaction processing, calculations, distributions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Agency Reconciliation Team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Daily cash reconciliation, break investigation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Agency Manager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Oversight, exception approval, lender escalation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Operational Risk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Independent assurance, error trend analysis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Periodic agency operations review</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High-volume agency operation running accurately with strong reconciliation discipline. Minor watch item: distribution timing during the SONIA rate-setting peak periods occasionally tight, mitigated by process adjustments.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CL-CTRL-03 · Syndicated Loan Administration &amp; Agency Controls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2026-05-25T13:19:01.607Z</dcterms:created>
  <dcterms:modified xsi:type="dcterms:W3CDTF">2026-05-25T13:19:01.607Z</dcterms:modified>
</cp:coreProperties>
</file>

<file path=docProps/custom.xml><?xml version="1.0" encoding="utf-8"?>
<Properties xmlns="http://schemas.openxmlformats.org/officeDocument/2006/custom-properties" xmlns:vt="http://schemas.openxmlformats.org/officeDocument/2006/docPropsVTypes"/>
</file>