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Syndicated Loan Administration &amp; Agency Controls</w:t>
            </w:r>
          </w:p>
          <w:p>
            <w:pPr>
              <w:spacing w:after="120"/>
            </w:pPr>
            <w:r>
              <w:rPr>
                <w:rFonts w:ascii="Calibri" w:cs="Calibri" w:eastAsia="Calibri" w:hAnsi="Calibri"/>
                <w:color w:val="94BAF7"/>
                <w:sz w:val="22"/>
                <w:szCs w:val="22"/>
              </w:rPr>
              <w:t xml:space="preserve">Corporate &amp; Commercial Lending  |  CL-CTRL-03</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Syndicated Loan Administration &amp; Agency Controls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Sørensen, Head of Loan Agency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9,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Sørensen, Head of Loan Agency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CL-CTRL-03</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confirmed the scope of the Syndicated Loan Administration &amp; Agency Controls control as documented in the Q2 2026 RCSA refresh. M. Sørensen, Head of Loan Agency confirmed control ownership and described the supporting team and governance structure.</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SONIA Transition Stability</w:t>
      </w:r>
    </w:p>
    <w:p>
      <w:pPr>
        <w:spacing w:after="120"/>
      </w:pPr>
      <w:r>
        <w:rPr>
          <w:rFonts w:ascii="Calibri" w:cs="Calibri" w:eastAsia="Calibri" w:hAnsi="Calibri"/>
          <w:sz w:val="21"/>
          <w:szCs w:val="21"/>
        </w:rPr>
        <w:t xml:space="preserve">M. Sørensen confirmed the post-LIBOR SONIA/SOFR environment is now stable. Compounded-in-arrears calculations are fully automated. Early transition issues (2022-2023) fully resolved. Fallback provisions documented per ISDA/LMA standards.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Distribution Timing at Rate-Set Peaks</w:t>
      </w:r>
    </w:p>
    <w:p>
      <w:pPr>
        <w:spacing w:after="120"/>
      </w:pPr>
      <w:r>
        <w:rPr>
          <w:rFonts w:ascii="Calibri" w:cs="Calibri" w:eastAsia="Calibri" w:hAnsi="Calibri"/>
          <w:sz w:val="21"/>
          <w:szCs w:val="21"/>
        </w:rPr>
        <w:t xml:space="preserve">During quarterly interest payment date clusters, distribution volume spikes. M. Sørensen noted occasional tight timing but no LMA breaches in Q1. Process adjustment (staggered processing, pre-staging of payments) introduced to manage peaks.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Reconciliation Break Management</w:t>
      </w:r>
    </w:p>
    <w:p>
      <w:pPr>
        <w:spacing w:after="120"/>
      </w:pPr>
      <w:r>
        <w:rPr>
          <w:rFonts w:ascii="Calibri" w:cs="Calibri" w:eastAsia="Calibri" w:hAnsi="Calibri"/>
          <w:sz w:val="21"/>
          <w:szCs w:val="21"/>
        </w:rPr>
        <w:t xml:space="preserve">Daily agency cash reconciliation is the team's core control. Q1 had a small number of breaks, all resolved within 2 days, mostly due to lender-side payment routing issues rather than bank error. M. Sørensen rates reconciliation discipline as strong.</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Secondary Market Trades</w:t>
      </w:r>
    </w:p>
    <w:p>
      <w:pPr>
        <w:spacing w:after="120"/>
      </w:pPr>
      <w:r>
        <w:rPr>
          <w:rFonts w:ascii="Calibri" w:cs="Calibri" w:eastAsia="Calibri" w:hAnsi="Calibri"/>
          <w:sz w:val="21"/>
          <w:szCs w:val="21"/>
        </w:rPr>
        <w:t xml:space="preserve">When syndicate lenders trade their positions in the secondary market, the agency must update position records accurately. ClearPar integration automates much of this. 142 secondary trades processed in Q1 with no position-record errors.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Agency Capacity &amp; Mandate Growth</w:t>
      </w:r>
    </w:p>
    <w:p>
      <w:pPr>
        <w:spacing w:after="120"/>
      </w:pPr>
      <w:r>
        <w:rPr>
          <w:rFonts w:ascii="Calibri" w:cs="Calibri" w:eastAsia="Calibri" w:hAnsi="Calibri"/>
          <w:sz w:val="21"/>
          <w:szCs w:val="21"/>
        </w:rPr>
        <w:t xml:space="preserve">The bank's agency mandate book grew 8% in Q1. M. Sørensen monitoring capacity — currently comfortable but flagged that continued growth will require additional FTE in H2 2026. No immediate concern.</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Automated calculations, dual-auth payments, daily recon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Accurate processing; peak-timing minor watch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standard comprehensive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Reconciliation Discipline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Daily recon with prompt break resolution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Effective high-volume operation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ACT-CL03-1: Monitor agency capacity vs mandate growth, prepare H2 FTE case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 Sørensen / Q3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ACT-CL03-2: Document peak-period distribution staggering procedure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Agency Ops / May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ACT-CL03-3: Annual review of SONIA/SOFR fallback provisions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 Sørensen / Q3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efficiently. Control owner experienced in loan agency operations. Recommended residual risk rating: ADEQUATE. No P1 actions. Strong reconciliation culture; capacity vs growth is the forward watch item.</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CL-CTRL-03 · Syndicated Loan Administration &amp; Agency Controls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2026-05-25T13:19:01.698Z</dcterms:created>
  <dcterms:modified xsi:type="dcterms:W3CDTF">2026-05-25T13:19:01.698Z</dcterms:modified>
</cp:coreProperties>
</file>

<file path=docProps/custom.xml><?xml version="1.0" encoding="utf-8"?>
<Properties xmlns="http://schemas.openxmlformats.org/officeDocument/2006/custom-properties" xmlns:vt="http://schemas.openxmlformats.org/officeDocument/2006/docPropsVTypes"/>
</file>