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2"/>
              <w:left w:val="single" w:color="0F2240" w:sz="24"/>
              <w:bottom w:val="single" w:color="0B7A75" w:sz="12"/>
              <w:right w:val="single" w:color="0B7A75"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w:t>
            </w:r>
          </w:p>
          <w:p>
            <w:pPr>
              <w:spacing w:after="120"/>
            </w:pPr>
            <w:r>
              <w:rPr>
                <w:rFonts w:ascii="Calibri" w:cs="Calibri" w:eastAsia="Calibri" w:hAnsi="Calibri"/>
                <w:b/>
                <w:bCs/>
                <w:color w:val="FFFFFF"/>
                <w:sz w:val="36"/>
                <w:szCs w:val="36"/>
              </w:rPr>
              <w:t xml:space="preserve">Trade Finance Documentary Examination</w:t>
            </w:r>
          </w:p>
          <w:p>
            <w:pPr>
              <w:spacing w:after="120"/>
            </w:pPr>
            <w:r>
              <w:rPr>
                <w:rFonts w:ascii="Calibri" w:cs="Calibri" w:eastAsia="Calibri" w:hAnsi="Calibri"/>
                <w:color w:val="94BAF7"/>
                <w:sz w:val="22"/>
                <w:szCs w:val="22"/>
              </w:rPr>
              <w:t xml:space="preserve">Corporate &amp; Commercial Lending  |  CL-CTRL-04</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CL-CTRL-04</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Trade Finance Documentary Examination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H. Nwosu, Head of Trade Finance Operations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Call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10, 2026 · per RCSA-2026-Q2 schedule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Format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Microsoft Teams — recorded with consent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Chen, Senior Risk Analyst (2nd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H. Nwosu, Head of Trade Finance Operations (1st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CL-CTRL-04</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Opening — Control Context</w:t>
            </w:r>
          </w:p>
        </w:tc>
      </w:tr>
    </w:tbl>
    <w:p>
      <w:pPr>
        <w:spacing w:after="120"/>
      </w:pPr>
      <w:r>
        <w:rPr>
          <w:rFonts w:ascii="Calibri" w:cs="Calibri" w:eastAsia="Calibri" w:hAnsi="Calibri"/>
          <w:sz w:val="21"/>
          <w:szCs w:val="21"/>
        </w:rPr>
        <w:t xml:space="preserve">S. Chen confirmed the scope of the Trade Finance Documentary Examination control as documented in the Q2 2026 RCSA refresh. H. Nwosu, Head of Trade Finance Operations confirmed control ownership and described the supporting team and governance structure.</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Discussion — Key Topics</w:t>
            </w:r>
          </w:p>
        </w:tc>
      </w:tr>
    </w:tbl>
    <w:p>
      <w:pPr>
        <w:spacing w:after="120"/>
      </w:pPr>
      <w:r>
        <w:rPr>
          <w:rFonts w:ascii="Calibri" w:cs="Calibri" w:eastAsia="Calibri" w:hAnsi="Calibri"/>
          <w:b/>
          <w:bCs/>
          <w:color w:val="0F2240"/>
          <w:sz w:val="21"/>
          <w:szCs w:val="21"/>
        </w:rPr>
        <w:t xml:space="preserve">1. Examination Quality</w:t>
      </w:r>
    </w:p>
    <w:p>
      <w:pPr>
        <w:spacing w:after="120"/>
      </w:pPr>
      <w:r>
        <w:rPr>
          <w:rFonts w:ascii="Calibri" w:cs="Calibri" w:eastAsia="Calibri" w:hAnsi="Calibri"/>
          <w:sz w:val="21"/>
          <w:szCs w:val="21"/>
        </w:rPr>
        <w:t xml:space="preserve">H. Nwosu confirmed all examiners hold or are working toward CDCS (Certified Documentary Credit Specialist) certification. Examination follows a structured UCP 600 checklist. Discrepancy detection rate strong — most discrepancies caught at first examination.</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2. Trade-Based Money Laundering Focus</w:t>
      </w:r>
    </w:p>
    <w:p>
      <w:pPr>
        <w:spacing w:after="120"/>
      </w:pPr>
      <w:r>
        <w:rPr>
          <w:rFonts w:ascii="Calibri" w:cs="Calibri" w:eastAsia="Calibri" w:hAnsi="Calibri"/>
          <w:sz w:val="21"/>
          <w:szCs w:val="21"/>
        </w:rPr>
        <w:t xml:space="preserve">TBML screening strengthened in 2025 following regulatory and industry focus. Now includes price-benchmarking against market databases (over/under-invoicing detection), dual-use goods screening, and vessel/route sanctions screening. 14 TBML red flags escalated to Financial Crime in Q1 — all investigated, 2 resulted in declined transactions.</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3. 5-Day Window Under Volume Pressure</w:t>
      </w:r>
    </w:p>
    <w:p>
      <w:pPr>
        <w:spacing w:after="120"/>
      </w:pPr>
      <w:r>
        <w:rPr>
          <w:rFonts w:ascii="Calibri" w:cs="Calibri" w:eastAsia="Calibri" w:hAnsi="Calibri"/>
          <w:sz w:val="21"/>
          <w:szCs w:val="21"/>
        </w:rPr>
        <w:t xml:space="preserve">Asia-corridor trade volume up 15% in Q1. H. Nwosu noted the UCP 5-banking-day examination window is occasionally tight during peaks. No breaches in Q1 but flagged as a capacity watch item. Cross-training additional examiners to add surge capacity.</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4. Discrepancy Handling</w:t>
      </w:r>
    </w:p>
    <w:p>
      <w:pPr>
        <w:spacing w:after="120"/>
      </w:pPr>
      <w:r>
        <w:rPr>
          <w:rFonts w:ascii="Calibri" w:cs="Calibri" w:eastAsia="Calibri" w:hAnsi="Calibri"/>
          <w:sz w:val="21"/>
          <w:szCs w:val="21"/>
        </w:rPr>
        <w:t xml:space="preserve">When discrepancies are found, the presenter is notified within the window with a clear discrepancy notice. Borrowers may accept discrepancies (waiver) or the documents are returned. Process is well-controlled with clear authority levels for discrepancy acceptance.</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5. Fraud Vigilance</w:t>
      </w:r>
    </w:p>
    <w:p>
      <w:pPr>
        <w:spacing w:after="120"/>
      </w:pPr>
      <w:r>
        <w:rPr>
          <w:rFonts w:ascii="Calibri" w:cs="Calibri" w:eastAsia="Calibri" w:hAnsi="Calibri"/>
          <w:sz w:val="21"/>
          <w:szCs w:val="21"/>
        </w:rPr>
        <w:t xml:space="preserve">H. Nwosu highlighted ongoing vigilance for fraudulent documents (forged bills of lading, fictitious trades). The team works with the shipping-document verification service and escalates suspicious presentations. No confirmed fraud losses in Q1.</w:t>
      </w:r>
    </w:p>
    <w:p>
      <w:pPr>
        <w:spacing w:after="100"/>
      </w:pPr>
      <w:r>
        <w:rPr>
          <w:rFonts w:ascii="Calibri" w:cs="Calibri" w:eastAsia="Calibri" w:hAnsi="Calibri"/>
        </w:rPr>
        <w:t xml:space="preserve"/>
      </w:r>
    </w:p>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Control Owner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960"/>
        <w:gridCol w:w="2000"/>
      </w:tblGrid>
      <w:tr>
        <w:tc>
          <w:tcPr>
            <w:tcW w:type="dxa" w:w="19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Dimension</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Owner Rating</w:t>
            </w:r>
          </w:p>
        </w:tc>
        <w:tc>
          <w:tcPr>
            <w:tcW w:type="dxa" w:w="39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Rationale</w:t>
            </w:r>
          </w:p>
        </w:tc>
        <w:tc>
          <w:tcPr>
            <w:tcW w:type="dxa" w:w="20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Notes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Design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UCP-aligned examination, integrated TBML screening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 Effectiveness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 examination; peak capacity watch</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Documentation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Examination checklists and authority matrix clear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Financial Crime Integration</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TBML screening enhanced and effective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Overall Self-Assessment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Effective, experienced operation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Action Items from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Action</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Owner / Due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ACT-CL04-1: Cross-train 4 additional examiners for peak surge capacity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H. Nwosu / Q3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ACT-CL04-2: Annual refresh of TBML price-benchmark database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Financial Crime Trade / Q2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ACT-CL04-3: Review Asia-corridor capacity vs continued growth</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H. Nwosu / Q3 2026</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8"/>
              <w:left w:val="single" w:color="0B7A75" w:sz="8"/>
              <w:bottom w:val="single" w:color="0B7A75" w:sz="8"/>
              <w:right w:val="single" w:color="0B7A75"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Interview concluded. Control owner highly knowledgeable in trade finance and UCP 600. Recommended residual risk rating: ADEQUATE. No P1 actions. Examination capacity vs Asia-corridor growth is the key watch item.</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CL-CTRL-04 · Trade Finance Documentary Examination  </w:t>
          </w:r>
          <w:r>
            <w:rPr>
              <w:rFonts w:ascii="Calibri" w:cs="Calibri" w:eastAsia="Calibri" w:hAnsi="Calibri"/>
              <w:color w:val="64748B"/>
              <w:sz w:val="18"/>
              <w:szCs w:val="18"/>
            </w:rPr>
            <w:t xml:space="preserve">| Control Owner Interview</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2026-05-25T13:19:01.833Z</dcterms:created>
  <dcterms:modified xsi:type="dcterms:W3CDTF">2026-05-25T13:19:01.833Z</dcterms:modified>
</cp:coreProperties>
</file>

<file path=docProps/custom.xml><?xml version="1.0" encoding="utf-8"?>
<Properties xmlns="http://schemas.openxmlformats.org/officeDocument/2006/custom-properties" xmlns:vt="http://schemas.openxmlformats.org/officeDocument/2006/docPropsVTypes"/>
</file>