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Collateral Valuation &amp; Security Perfection</w:t>
            </w:r>
          </w:p>
          <w:p>
            <w:pPr>
              <w:spacing w:after="120"/>
            </w:pPr>
            <w:r>
              <w:rPr>
                <w:rFonts w:ascii="Calibri" w:cs="Calibri" w:eastAsia="Calibri" w:hAnsi="Calibri"/>
                <w:color w:val="94BAF7"/>
                <w:sz w:val="22"/>
                <w:szCs w:val="22"/>
              </w:rPr>
              <w:t xml:space="preserve">Corporate &amp; Commercial Lending  |  CL-CTRL-06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Collateral Valuation &amp; Security Perfection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Security &amp; Collateral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collateral securing corporate facilities is accurately valued, legally perfected, and periodically revalued, so that the bank's secured position is enforceable and correctly reflected in LGD and capital calculations.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CRR Articles 207-210 — Eligibility and valuation of collateral</w:t>
      </w:r>
    </w:p>
    <w:p>
      <w:pPr>
        <w:pStyle w:val="ListParagraph"/>
        <w:numPr>
          <w:ilvl w:val="0"/>
          <w:numId w:val="2"/>
        </w:numPr>
        <w:spacing w:after="80"/>
      </w:pPr>
      <w:r>
        <w:rPr>
          <w:rFonts w:ascii="Calibri" w:cs="Calibri" w:eastAsia="Calibri" w:hAnsi="Calibri"/>
          <w:color w:val="1E293B"/>
          <w:sz w:val="21"/>
          <w:szCs w:val="21"/>
        </w:rPr>
        <w:t xml:space="preserve">PRA SS17/13 — Credit risk mitigation</w:t>
      </w:r>
    </w:p>
    <w:p>
      <w:pPr>
        <w:pStyle w:val="ListParagraph"/>
        <w:numPr>
          <w:ilvl w:val="0"/>
          <w:numId w:val="2"/>
        </w:numPr>
        <w:spacing w:after="80"/>
      </w:pPr>
      <w:r>
        <w:rPr>
          <w:rFonts w:ascii="Calibri" w:cs="Calibri" w:eastAsia="Calibri" w:hAnsi="Calibri"/>
          <w:color w:val="1E293B"/>
          <w:sz w:val="21"/>
          <w:szCs w:val="21"/>
        </w:rPr>
        <w:t xml:space="preserve">Basel III — Collateral and credit risk mitigation framework</w:t>
      </w:r>
    </w:p>
    <w:p>
      <w:pPr>
        <w:pStyle w:val="ListParagraph"/>
        <w:numPr>
          <w:ilvl w:val="0"/>
          <w:numId w:val="2"/>
        </w:numPr>
        <w:spacing w:after="80"/>
      </w:pPr>
      <w:r>
        <w:rPr>
          <w:rFonts w:ascii="Calibri" w:cs="Calibri" w:eastAsia="Calibri" w:hAnsi="Calibri"/>
          <w:color w:val="1E293B"/>
          <w:sz w:val="21"/>
          <w:szCs w:val="21"/>
        </w:rPr>
        <w:t xml:space="preserve">Law of Property Act / Companies Act — security registration</w:t>
      </w:r>
    </w:p>
    <w:p>
      <w:pPr>
        <w:pStyle w:val="ListParagraph"/>
        <w:numPr>
          <w:ilvl w:val="0"/>
          <w:numId w:val="2"/>
        </w:numPr>
        <w:spacing w:after="80"/>
      </w:pPr>
      <w:r>
        <w:rPr>
          <w:rFonts w:ascii="Calibri" w:cs="Calibri" w:eastAsia="Calibri" w:hAnsi="Calibri"/>
          <w:color w:val="1E293B"/>
          <w:sz w:val="21"/>
          <w:szCs w:val="21"/>
        </w:rPr>
        <w:t xml:space="preserve">Internal Security Perfection Standard SP-2024-003</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Collateral taken as security (property, receivables, inventory, charges over shares) is valued at facility origination and periodically revalued. Security is legally perfected (registered charges, possession, notice) within required timeframes. The collateral register tracks valuation currency, perfection status, and the resulting credit risk mitigation benefit.</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Collateral valuation at origination by approved valuers / methodologies</w:t>
      </w:r>
    </w:p>
    <w:p>
      <w:pPr>
        <w:pStyle w:val="ListParagraph"/>
        <w:numPr>
          <w:ilvl w:val="0"/>
          <w:numId w:val="2"/>
        </w:numPr>
        <w:spacing w:after="80"/>
      </w:pPr>
      <w:r>
        <w:rPr>
          <w:rFonts w:ascii="Calibri" w:cs="Calibri" w:eastAsia="Calibri" w:hAnsi="Calibri"/>
          <w:color w:val="1E293B"/>
          <w:sz w:val="21"/>
          <w:szCs w:val="21"/>
        </w:rPr>
        <w:t xml:space="preserve">Legal perfection — charge registration within statutory timeframes</w:t>
      </w:r>
    </w:p>
    <w:p>
      <w:pPr>
        <w:pStyle w:val="ListParagraph"/>
        <w:numPr>
          <w:ilvl w:val="0"/>
          <w:numId w:val="2"/>
        </w:numPr>
        <w:spacing w:after="80"/>
      </w:pPr>
      <w:r>
        <w:rPr>
          <w:rFonts w:ascii="Calibri" w:cs="Calibri" w:eastAsia="Calibri" w:hAnsi="Calibri"/>
          <w:color w:val="1E293B"/>
          <w:sz w:val="21"/>
          <w:szCs w:val="21"/>
        </w:rPr>
        <w:t xml:space="preserve">Periodic revaluation per collateral type and policy frequency</w:t>
      </w:r>
    </w:p>
    <w:p>
      <w:pPr>
        <w:pStyle w:val="ListParagraph"/>
        <w:numPr>
          <w:ilvl w:val="0"/>
          <w:numId w:val="2"/>
        </w:numPr>
        <w:spacing w:after="80"/>
      </w:pPr>
      <w:r>
        <w:rPr>
          <w:rFonts w:ascii="Calibri" w:cs="Calibri" w:eastAsia="Calibri" w:hAnsi="Calibri"/>
          <w:color w:val="1E293B"/>
          <w:sz w:val="21"/>
          <w:szCs w:val="21"/>
        </w:rPr>
        <w:t xml:space="preserve">Collateral register — single source of valuation and perfection status</w:t>
      </w:r>
    </w:p>
    <w:p>
      <w:pPr>
        <w:pStyle w:val="ListParagraph"/>
        <w:numPr>
          <w:ilvl w:val="0"/>
          <w:numId w:val="2"/>
        </w:numPr>
        <w:spacing w:after="80"/>
      </w:pPr>
      <w:r>
        <w:rPr>
          <w:rFonts w:ascii="Calibri" w:cs="Calibri" w:eastAsia="Calibri" w:hAnsi="Calibri"/>
          <w:color w:val="1E293B"/>
          <w:sz w:val="21"/>
          <w:szCs w:val="21"/>
        </w:rPr>
        <w:t xml:space="preserve">CRM benefit calculation — eligible collateral reduces LGD / capital</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The two critical risks — stale valuations and unperfected security — are monitored through the collateral register. Perfection timeliness is strong; valuation currency requires ongoing management.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Security perfection within statutory window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Collateral valuations overdue (per policy frequency)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&gt;8% | Red: &gt;15%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Unperfected security on drawn facilities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 | Red: &gt;5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 variance on revaluation (&gt;20% drop)</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monitor | Red: portfolio impact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CRM benefit claimed on ineligible collateral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 | Red: &gt;3</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Per-facility at origination; perfection within statutory windows; periodic revaluation (property 3yr, receivables/inventory more frequent); quarterly register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Security &amp; Collateral Team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Valuation coordination, perfection, register maintenance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Legal / external counsel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Charge registration, perfection advice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Relationship Managers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Collateral information, revaluation triggers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Risk Oversight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CRM eligibility assurance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Periodic security and collateral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Security perfection is strong (100% within statutory windows in Q1). Watch item: 9% of collateral valuations are overdue against policy frequency (just above 8% amber), concentrated in commercial property where revaluation costs and access have caused delays.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CL-CTRL-06 · Collateral Valuation &amp; Security Perfection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2026-05-25T13:19:01.965Z</dcterms:created>
  <dcterms:modified xsi:type="dcterms:W3CDTF">2026-05-25T13:19:01.965Z</dcterms:modified>
</cp:coreProperties>
</file>

<file path=docProps/custom.xml><?xml version="1.0" encoding="utf-8"?>
<Properties xmlns="http://schemas.openxmlformats.org/officeDocument/2006/custom-properties" xmlns:vt="http://schemas.openxmlformats.org/officeDocument/2006/docPropsVTypes"/>
</file>