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Corporate Customer Onboarding &amp; KYB Due Diligence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CL-CTRL-08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CL-CTRL-08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Customer Onboarding &amp; KYB Due Diligence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Okafor, Head of Corporate Onboarding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9,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Okafor, Head of Corporate Onboarding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CL-CTRL-08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confirmed the scope of the Corporate Customer Onboarding &amp; KYB Due Diligence control as documented in the Q2 2026 RCSA refresh. S. Okafor, Head of Corporate Onboarding confirmed control ownership and described the supporting team and governance structure.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Beneficial Ownership Complexity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Okafor explained UBO verification is the hardest part of corporate onboarding — multi-layered structures, trusts, nominee arrangements, and offshore entities require careful analysis to identify the ultimate beneficial owners. The 4% UBO gap rate (above 3% amber) reflects this complexity, not negligence — these are genuinely difficult structures. Each gap is risk-assessed and tracked to closure.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EDD for High-Risk Customers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Higher-risk customers (high-risk jurisdictions, complex structures, PEP connections) receive enhanced due diligence — deeper source-of-wealth analysis, additional verification, MLRO approval. S. Okafor confirmed 100% EDD completion for in-scope customers in Q1. The MLRO is actively engaged in high-risk approvals.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Pre-Drawdown Discipline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No facility can be drawn before onboarding is complete — this is a hard control. S. Okafor confirmed 100% compliance in Q1: every facility drawdown had completed onboarding. The integration between onboarding and facility activation enforces this.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Onboarding Cycle Time Pressure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Standard-risk onboarding averages 12 days (within 15-day amber), but higher-risk EDD cases can extend to 25+ days, creating commercial tension with relationship teams wanting to close deals. S. Okafor balances thoroughness against speed — declining to rush EDD. Exploring process efficiencies to reduce cycle time without compromising quality.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Screening at Onboarding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Every customer and connected party is screened against sanctions, PEP, and adverse-media lists at onboarding. 100% coverage in Q1. True matches are adjudicated by Financial Crime. This links to the ongoing periodic screening control.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Comprehensive KYB, UBO, screening, risk rating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Full coverage; UBO gaps and cycle time watch items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CDD/EDD procedures comprehensive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Financial Crime Integration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Screening and MLRO engagement effective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Effective; UBO complexity the key challenge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ACT-CL08-1: Reduce UBO verification gaps below 3% via structure-mapping tooling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S. Okafor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ACT-CL08-2: Process efficiency review to reduce EDD cycle time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S. Okafor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ACT-CL08-3: Refresh KYB training following JMLSG guidance updates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S. Okafor / Q2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8"/>
              <w:left w:val="single" w:color="0B7A75" w:sz="8"/>
              <w:bottom w:val="single" w:color="0B7A75" w:sz="8"/>
              <w:right w:val="single" w:color="0B7A75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concluded. Control owner knowledgeable in KYB and financial crime requirements. Recommended residual risk rating: ADEQUATE. No P1 actions. UBO verification complexity and EDD cycle time are the managed watch items.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CL-CTRL-08 · Corporate Customer Onboarding &amp; KYB Due Diligence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2026-05-25T13:19:02.254Z</dcterms:created>
  <dcterms:modified xsi:type="dcterms:W3CDTF">2026-05-25T13:19:02.254Z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