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B7A75" w:sz="12"/>
              <w:left w:val="single" w:color="0F2240" w:sz="24"/>
              <w:bottom w:val="single" w:color="0B7A75" w:sz="12"/>
              <w:right w:val="single" w:color="0B7A75" w:sz="4"/>
            </w:tcBorders>
            <w:shd w:fill="0F2240" w:val="clear"/>
            <w:tcMar>
              <w:top w:type="dxa" w:w="360"/>
              <w:left w:type="dxa" w:w="400"/>
              <w:bottom w:type="dxa" w:w="360"/>
              <w:right w:type="dxa" w:w="40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aps/>
                <w:color w:val="94BAF7"/>
                <w:sz w:val="18"/>
                <w:szCs w:val="18"/>
              </w:rPr>
              <w:t xml:space="preserve">CONTROL OWNER INTERVIEW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6"/>
                <w:szCs w:val="36"/>
              </w:rPr>
              <w:t xml:space="preserve">Facility Drawdown &amp; Conditions Precedent Verification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color w:val="94BAF7"/>
                <w:sz w:val="22"/>
                <w:szCs w:val="22"/>
              </w:rPr>
              <w:t xml:space="preserve">Corporate &amp; Commercial Lending  |  CL-CTRL-10</w:t>
            </w:r>
          </w:p>
        </w:tc>
      </w:tr>
    </w:tbl>
    <w:p>
      <w:pPr>
        <w:spacing w:after="18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Control ID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CL-CTRL-10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Control Name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Facility Drawdown &amp; Conditions Precedent Verification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Business Division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Corporate &amp; Commercial Lending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Document Type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Control Owner Interview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Prepared By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T. Eriksen, Head of Credit Administration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Review Date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April 2026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1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E4FA8"/>
                <w:sz w:val="20"/>
                <w:szCs w:val="20"/>
              </w:rPr>
              <w:t xml:space="preserve">Adequate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GRC Reference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RCSA-2026-Q2 | ServiceNow / MetricStream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</w:rPr>
        <w:t xml:space="preserve"/>
      </w:r>
    </w:p>
    <w:p>
      <w:pPr>
        <w:spacing w:after="1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B7A75" w:sz="4"/>
              <w:left w:val="single" w:color="0B7A75" w:sz="8"/>
              <w:bottom w:val="single" w:color="0B7A75" w:sz="4"/>
              <w:right w:val="single" w:color="0B7A75" w:sz="4"/>
            </w:tcBorders>
            <w:shd w:fill="E0F5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B7A75"/>
                <w:sz w:val="20"/>
                <w:szCs w:val="20"/>
              </w:rPr>
              <w:t xml:space="preserve">Call Details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Date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April 11, 2026 · per RCSA-2026-Q2 schedule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Format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Microsoft Teams — recorded with consent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Interviewer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S. Chen, Senior Risk Analyst (2nd Line)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Interviewee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T. Eriksen, Head of Credit Administration (1st Line)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Reference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RCSA-2026-Q2 / CL-CTRL-10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B7A75" w:sz="4"/>
              <w:left w:val="single" w:color="0B7A75" w:sz="8"/>
              <w:bottom w:val="single" w:color="0B7A75" w:sz="4"/>
              <w:right w:val="single" w:color="0B7A75" w:sz="4"/>
            </w:tcBorders>
            <w:shd w:fill="E0F5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B7A75"/>
                <w:sz w:val="20"/>
                <w:szCs w:val="20"/>
              </w:rPr>
              <w:t xml:space="preserve">Opening — Control Context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S. Chen confirmed the scope of the Facility Drawdown &amp; Conditions Precedent Verification control as documented in the Q2 2026 RCSA refresh. T. Eriksen, Head of Credit Administration confirmed control ownership and described the supporting team and governance structure.</w:t>
      </w:r>
    </w:p>
    <w:p>
      <w:pPr>
        <w:spacing w:after="14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B7A75" w:sz="4"/>
              <w:left w:val="single" w:color="0B7A75" w:sz="8"/>
              <w:bottom w:val="single" w:color="0B7A75" w:sz="4"/>
              <w:right w:val="single" w:color="0B7A75" w:sz="4"/>
            </w:tcBorders>
            <w:shd w:fill="E0F5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B7A75"/>
                <w:sz w:val="20"/>
                <w:szCs w:val="20"/>
              </w:rPr>
              <w:t xml:space="preserve">Discussion — Key Topics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b/>
          <w:bCs/>
          <w:color w:val="0F2240"/>
          <w:sz w:val="21"/>
          <w:szCs w:val="21"/>
        </w:rPr>
        <w:t xml:space="preserve">1. Drawdown Gate Discipline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T. Eriksen confirmed the drawdown gate is a hard control — no funds can be released until every condition precedent is verified and signed off. In Q1, 100% of drawdowns had complete CP verification. This is the team's most critical control and is treated accordingly.</w:t>
      </w: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0F2240"/>
          <w:sz w:val="21"/>
          <w:szCs w:val="21"/>
        </w:rPr>
        <w:t xml:space="preserve">2. Conditions Subsequent Gap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The weaker area is conditions subsequent — obligations the borrower must satisfy AFTER drawdown (e.g., post-completion security registration, insurance renewal). At 11% overdue (above 8% amber), CS tracking relies on manual follow-up, similar to the covenant certificate issue in CL-CTRL-02. T. Eriksen is working with the same tooling initiative to automate CS tracking.</w:t>
      </w: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0F2240"/>
          <w:sz w:val="21"/>
          <w:szCs w:val="21"/>
        </w:rPr>
        <w:t xml:space="preserve">3. CP Waiver Governance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Occasionally a borrower needs to draw before a non-critical CP is satisfied — this requires a CP waiver approved by credit authority, with the condition becoming a condition subsequent. T. Eriksen confirmed all CP waivers in Q1 had proper credit-authority approval. Waivers are never granted for critical CPs (security perfection, KYB).</w:t>
      </w: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0F2240"/>
          <w:sz w:val="21"/>
          <w:szCs w:val="21"/>
        </w:rPr>
        <w:t xml:space="preserve">4. Cycle Time vs Commercial Pressure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CP verification takes time, and borrowers/RMs want fast drawdown. T. Eriksen balances speed against control — CP verification averages 3 days against a 5-day amber. The team resists pressure to shortcut verification, particularly on security and documentation conditions.</w:t>
      </w: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0F2240"/>
          <w:sz w:val="21"/>
          <w:szCs w:val="21"/>
        </w:rPr>
        <w:t xml:space="preserve">5. Link to Collateral and Covenant Controls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T. Eriksen noted the interdependencies — CP verification confirms security perfection (CL-CTRL-06), KYB completion (CL-CTRL-08), and sets up covenant monitoring (CL-CTRL-02). The credit administration control sits at the centre of the credit-execution process.</w:t>
      </w: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</w:p>
    <w:p>
      <w:pPr>
        <w:spacing w:after="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B7A75" w:sz="4"/>
              <w:left w:val="single" w:color="0B7A75" w:sz="8"/>
              <w:bottom w:val="single" w:color="0B7A75" w:sz="4"/>
              <w:right w:val="single" w:color="0B7A75" w:sz="4"/>
            </w:tcBorders>
            <w:shd w:fill="E0F5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B7A75"/>
                <w:sz w:val="20"/>
                <w:szCs w:val="20"/>
              </w:rPr>
              <w:t xml:space="preserve">Control Owner Self-Assessment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500"/>
        <w:gridCol w:w="3960"/>
        <w:gridCol w:w="2000"/>
      </w:tblGrid>
      <w:tr>
        <w:tc>
          <w:tcPr>
            <w:tcW w:type="dxa" w:w="1900"/>
            <w:tcBorders>
              <w:top w:val="single" w:color="0F2240" w:sz="1"/>
              <w:left w:val="single" w:color="0F2240" w:sz="1"/>
              <w:bottom w:val="single" w:color="0F2240" w:sz="1"/>
              <w:right w:val="single" w:color="0F2240" w:sz="1"/>
            </w:tcBorders>
            <w:shd w:fill="0F22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Dimension</w:t>
            </w:r>
          </w:p>
        </w:tc>
        <w:tc>
          <w:tcPr>
            <w:tcW w:type="dxa" w:w="1500"/>
            <w:tcBorders>
              <w:top w:val="single" w:color="0F2240" w:sz="1"/>
              <w:left w:val="single" w:color="0F2240" w:sz="1"/>
              <w:bottom w:val="single" w:color="0F2240" w:sz="1"/>
              <w:right w:val="single" w:color="0F2240" w:sz="1"/>
            </w:tcBorders>
            <w:shd w:fill="0F22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Owner Rating</w:t>
            </w:r>
          </w:p>
        </w:tc>
        <w:tc>
          <w:tcPr>
            <w:tcW w:type="dxa" w:w="3960"/>
            <w:tcBorders>
              <w:top w:val="single" w:color="0F2240" w:sz="1"/>
              <w:left w:val="single" w:color="0F2240" w:sz="1"/>
              <w:bottom w:val="single" w:color="0F2240" w:sz="1"/>
              <w:right w:val="single" w:color="0F2240" w:sz="1"/>
            </w:tcBorders>
            <w:shd w:fill="0F22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Rationale</w:t>
            </w:r>
          </w:p>
        </w:tc>
        <w:tc>
          <w:tcPr>
            <w:tcW w:type="dxa" w:w="2000"/>
            <w:tcBorders>
              <w:top w:val="single" w:color="0F2240" w:sz="1"/>
              <w:left w:val="single" w:color="0F2240" w:sz="1"/>
              <w:bottom w:val="single" w:color="0F2240" w:sz="1"/>
              <w:right w:val="single" w:color="0F2240" w:sz="1"/>
            </w:tcBorders>
            <w:shd w:fill="0F22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Design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Strong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Hard drawdown gate, facility-specific CP checklist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Operating Effectiveness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Adequate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Drawdown gate effective; CS tracking above amber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Tooling initiative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Documentation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Strong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CP/CS standard documented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Conditions Subsequent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Adequate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Manual tracking gap, 11% overdue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Automation planned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Overall Self-Assessment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Adequate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Effective drawdown gate; CS tracking the focus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B7A75" w:sz="4"/>
              <w:left w:val="single" w:color="0B7A75" w:sz="8"/>
              <w:bottom w:val="single" w:color="0B7A75" w:sz="4"/>
              <w:right w:val="single" w:color="0B7A75" w:sz="4"/>
            </w:tcBorders>
            <w:shd w:fill="E0F5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B7A75"/>
                <w:sz w:val="20"/>
                <w:szCs w:val="20"/>
              </w:rPr>
              <w:t xml:space="preserve">Action Items from Interview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1E4FA8" w:sz="1"/>
              <w:left w:val="single" w:color="1E4FA8" w:sz="1"/>
              <w:bottom w:val="single" w:color="1E4FA8" w:sz="1"/>
              <w:right w:val="single" w:color="1E4FA8" w:sz="1"/>
            </w:tcBorders>
            <w:shd w:fill="1E4FA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  <w:tc>
          <w:tcPr>
            <w:tcW w:type="dxa" w:w="6160"/>
            <w:tcBorders>
              <w:top w:val="single" w:color="1E4FA8" w:sz="1"/>
              <w:left w:val="single" w:color="1E4FA8" w:sz="1"/>
              <w:bottom w:val="single" w:color="1E4FA8" w:sz="1"/>
              <w:right w:val="single" w:color="1E4FA8" w:sz="1"/>
            </w:tcBorders>
            <w:shd w:fill="1E4FA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Owner / Due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ACT-CL10-1: Reduce conditions-subsequent overdue below 5% via automated tracking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T. Eriksen / Q3 2026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ACT-CL10-2: Align CS automation with CL-CTRL-02 covenant tooling initiative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T. Eriksen + A. Diallo / Q3 2026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ACT-CL10-3: Refresh CP/CS standard documentation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Credit Admin / Q2 2026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B7A75" w:sz="8"/>
              <w:left w:val="single" w:color="0B7A75" w:sz="8"/>
              <w:bottom w:val="single" w:color="0B7A75" w:sz="8"/>
              <w:right w:val="single" w:color="0B7A75" w:sz="8"/>
            </w:tcBorders>
            <w:shd w:fill="EBF1FC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Interview concluded. Control owner experienced in credit administration. Recommended residual risk rating: ADEQUATE. No P1 actions. The drawdown gate is strong; conditions-subsequent tracking is the watch item, linked to the broader credit-tooling initiative.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4" w:space="1"/>
      </w:pBdr>
      <w:spacing w:before="80"/>
    </w:pPr>
    <w:r>
      <w:rPr>
        <w:rFonts w:ascii="Calibri" w:cs="Calibri" w:eastAsia="Calibri" w:hAnsi="Calibri"/>
        <w:color w:val="64748B"/>
        <w:sz w:val="17"/>
        <w:szCs w:val="17"/>
      </w:rPr>
      <w:t xml:space="preserve">Confidential — For Internal Use Only     Page </w:t>
    </w:r>
    <w:r>
      <w:rPr>
        <w:rFonts w:ascii="Calibri" w:cs="Calibri" w:eastAsia="Calibri" w:hAnsi="Calibri"/>
        <w:color w:val="64748B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none" w:color="FFFFFF" w:sz="0"/>
        <w:left w:val="none" w:color="FFFFFF" w:sz="0"/>
        <w:bottom w:val="single" w:color="1E4FA8" w:sz="6"/>
        <w:right w:val="none" w:color="FFFFFF" w:sz="0"/>
        <w:insideH w:val="single" w:color="auto" w:sz="4"/>
        <w:insideV w:val="single" w:color="auto" w:sz="4"/>
      </w:tblBorders>
    </w:tblPr>
    <w:tblGrid>
      <w:gridCol w:w="6500"/>
      <w:gridCol w:w="2860"/>
    </w:tblGrid>
    <w:tr>
      <w:tc>
        <w:tcPr>
          <w:tcW w:type="dxa" w:w="65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FFFFFF" w:val="clear"/>
          <w:tcMar>
            <w:top w:type="dxa" w:w="60"/>
            <w:left w:type="dxa" w:w="0"/>
            <w:bottom w:type="dxa" w:w="60"/>
            <w:right w:type="dxa" w:w="0"/>
          </w:tcMar>
        </w:tcPr>
        <w:p>
          <w:pPr>
            <w:spacing w:after="120"/>
          </w:pPr>
          <w:r>
            <w:rPr>
              <w:rFonts w:ascii="Calibri" w:cs="Calibri" w:eastAsia="Calibri" w:hAnsi="Calibri"/>
              <w:b/>
              <w:bCs/>
              <w:color w:val="0F2240"/>
              <w:sz w:val="18"/>
              <w:szCs w:val="18"/>
            </w:rPr>
            <w:t xml:space="preserve">CL-CTRL-10 · Facility Drawdown &amp; Conditions Precedent Verification  </w:t>
          </w:r>
          <w:r>
            <w:rPr>
              <w:rFonts w:ascii="Calibri" w:cs="Calibri" w:eastAsia="Calibri" w:hAnsi="Calibri"/>
              <w:color w:val="64748B"/>
              <w:sz w:val="18"/>
              <w:szCs w:val="18"/>
            </w:rPr>
            <w:t xml:space="preserve">| Control Owner Interview</w:t>
          </w:r>
        </w:p>
      </w:tc>
      <w:tc>
        <w:tcPr>
          <w:tcW w:type="dxa" w:w="286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FFFFFF" w:val="clear"/>
          <w:tcMar>
            <w:top w:type="dxa" w:w="60"/>
            <w:left w:type="dxa" w:w="0"/>
            <w:bottom w:type="dxa" w:w="60"/>
            <w:right w:type="dxa" w:w="0"/>
          </w:tcMar>
        </w:tcPr>
        <w:p>
          <w:pPr>
            <w:spacing w:after="120"/>
            <w:jc w:val="right"/>
          </w:pPr>
          <w:r>
            <w:rPr>
              <w:rFonts w:ascii="Calibri" w:cs="Calibri" w:eastAsia="Calibri" w:hAnsi="Calibri"/>
              <w:color w:val="64748B"/>
              <w:sz w:val="16"/>
              <w:szCs w:val="16"/>
            </w:rPr>
            <w:t xml:space="preserve">Global Bank Group  |  Confidential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2026-05-25T13:19:02.422Z</dcterms:created>
  <dcterms:modified xsi:type="dcterms:W3CDTF">2026-05-25T13:19:02.422Z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