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Market Risk Limit Monitoring (VaR &amp; Sensitivities)</w:t>
            </w:r>
          </w:p>
          <w:p>
            <w:pPr>
              <w:spacing w:after="120"/>
            </w:pPr>
            <w:r>
              <w:rPr>
                <w:rFonts w:ascii="Calibri" w:cs="Calibri" w:eastAsia="Calibri" w:hAnsi="Calibri"/>
                <w:color w:val="94BAF7"/>
                <w:sz w:val="22"/>
                <w:szCs w:val="22"/>
              </w:rPr>
              <w:t xml:space="preserve">Markets &amp; Trading  |  MT-CTRL-01</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 Risk Limit Monitoring (VaR &amp; Sensitivities)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H. Nakamura, Head of Market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Monitor trading book exposures against approved market risk limits including Value-at-Risk (VaR), stressed VaR, and sensitivity-based measures (DV01, CS01, vega), ensuring no desk exceeds its allocated risk appetite and that breaches are escalated and remediated promptly.</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Basel III FRTB (Fundamental Review of the Trading Book) — market risk capital</w:t>
      </w:r>
    </w:p>
    <w:p>
      <w:pPr>
        <w:pStyle w:val="ListParagraph"/>
        <w:numPr>
          <w:ilvl w:val="0"/>
          <w:numId w:val="2"/>
        </w:numPr>
        <w:spacing w:after="80"/>
      </w:pPr>
      <w:r>
        <w:rPr>
          <w:rFonts w:ascii="Calibri" w:cs="Calibri" w:eastAsia="Calibri" w:hAnsi="Calibri"/>
          <w:color w:val="1E293B"/>
          <w:sz w:val="21"/>
          <w:szCs w:val="21"/>
        </w:rPr>
        <w:t xml:space="preserve">PRA Rulebook — Market Risk requirements</w:t>
      </w:r>
    </w:p>
    <w:p>
      <w:pPr>
        <w:pStyle w:val="ListParagraph"/>
        <w:numPr>
          <w:ilvl w:val="0"/>
          <w:numId w:val="2"/>
        </w:numPr>
        <w:spacing w:after="80"/>
      </w:pPr>
      <w:r>
        <w:rPr>
          <w:rFonts w:ascii="Calibri" w:cs="Calibri" w:eastAsia="Calibri" w:hAnsi="Calibri"/>
          <w:color w:val="1E293B"/>
          <w:sz w:val="21"/>
          <w:szCs w:val="21"/>
        </w:rPr>
        <w:t xml:space="preserve">CRR Article 325 et seq — own funds requirements for market risk</w:t>
      </w:r>
    </w:p>
    <w:p>
      <w:pPr>
        <w:pStyle w:val="ListParagraph"/>
        <w:numPr>
          <w:ilvl w:val="0"/>
          <w:numId w:val="2"/>
        </w:numPr>
        <w:spacing w:after="80"/>
      </w:pPr>
      <w:r>
        <w:rPr>
          <w:rFonts w:ascii="Calibri" w:cs="Calibri" w:eastAsia="Calibri" w:hAnsi="Calibri"/>
          <w:color w:val="1E293B"/>
          <w:sz w:val="21"/>
          <w:szCs w:val="21"/>
        </w:rPr>
        <w:t xml:space="preserve">FCA SYSC 7 — risk control</w:t>
      </w:r>
    </w:p>
    <w:p>
      <w:pPr>
        <w:pStyle w:val="ListParagraph"/>
        <w:numPr>
          <w:ilvl w:val="0"/>
          <w:numId w:val="2"/>
        </w:numPr>
        <w:spacing w:after="80"/>
      </w:pPr>
      <w:r>
        <w:rPr>
          <w:rFonts w:ascii="Calibri" w:cs="Calibri" w:eastAsia="Calibri" w:hAnsi="Calibri"/>
          <w:color w:val="1E293B"/>
          <w:sz w:val="21"/>
          <w:szCs w:val="21"/>
        </w:rPr>
        <w:t xml:space="preserve">Internal Market Risk Appetite Statement approved by Board Risk Committee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The Market Risk system (Murex MX.3 + internal VaR engine) calculates desk-level and firm-level VaR daily using a 99% confidence, 1-day holding period (historical simulation, 2-year window). Sensitivities (DV01, CS01, vega, gamma) computed intraday. Limits are set at desk, business, and firm level. Breaches trigger automated alerts to desk heads, Market Risk, and (for hard limit breaches) the CRO.</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End-of-day VaR — 99%/1-day historical simulation, 2-year lookback, computed by 22:00 for all books</w:t>
      </w:r>
    </w:p>
    <w:p>
      <w:pPr>
        <w:pStyle w:val="ListParagraph"/>
        <w:numPr>
          <w:ilvl w:val="0"/>
          <w:numId w:val="2"/>
        </w:numPr>
        <w:spacing w:after="80"/>
      </w:pPr>
      <w:r>
        <w:rPr>
          <w:rFonts w:ascii="Calibri" w:cs="Calibri" w:eastAsia="Calibri" w:hAnsi="Calibri"/>
          <w:color w:val="1E293B"/>
          <w:sz w:val="21"/>
          <w:szCs w:val="21"/>
        </w:rPr>
        <w:t xml:space="preserve">Stressed VaR — calibrated to 2008-2009 stress period, computed daily</w:t>
      </w:r>
    </w:p>
    <w:p>
      <w:pPr>
        <w:pStyle w:val="ListParagraph"/>
        <w:numPr>
          <w:ilvl w:val="0"/>
          <w:numId w:val="2"/>
        </w:numPr>
        <w:spacing w:after="80"/>
      </w:pPr>
      <w:r>
        <w:rPr>
          <w:rFonts w:ascii="Calibri" w:cs="Calibri" w:eastAsia="Calibri" w:hAnsi="Calibri"/>
          <w:color w:val="1E293B"/>
          <w:sz w:val="21"/>
          <w:szCs w:val="21"/>
        </w:rPr>
        <w:t xml:space="preserve">Sensitivity limits — DV01 (rates), CS01 (credit), vega (vol), monitored intraday</w:t>
      </w:r>
    </w:p>
    <w:p>
      <w:pPr>
        <w:pStyle w:val="ListParagraph"/>
        <w:numPr>
          <w:ilvl w:val="0"/>
          <w:numId w:val="2"/>
        </w:numPr>
        <w:spacing w:after="80"/>
      </w:pPr>
      <w:r>
        <w:rPr>
          <w:rFonts w:ascii="Calibri" w:cs="Calibri" w:eastAsia="Calibri" w:hAnsi="Calibri"/>
          <w:color w:val="1E293B"/>
          <w:sz w:val="21"/>
          <w:szCs w:val="21"/>
        </w:rPr>
        <w:t xml:space="preserve">Limit hierarchy — desk → business line → firm-wide, each with soft (amber) and hard (red) thresholds</w:t>
      </w:r>
    </w:p>
    <w:p>
      <w:pPr>
        <w:pStyle w:val="ListParagraph"/>
        <w:numPr>
          <w:ilvl w:val="0"/>
          <w:numId w:val="2"/>
        </w:numPr>
        <w:spacing w:after="80"/>
      </w:pPr>
      <w:r>
        <w:rPr>
          <w:rFonts w:ascii="Calibri" w:cs="Calibri" w:eastAsia="Calibri" w:hAnsi="Calibri"/>
          <w:color w:val="1E293B"/>
          <w:sz w:val="21"/>
          <w:szCs w:val="21"/>
        </w:rPr>
        <w:t xml:space="preserve">Breach management — soft breach: desk head notified + 1-day cure; hard breach: immediate CRO escalation + position reduction</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well. Adequate rating reflects strong core monitoring with two refinement areas: intraday VaR is not yet fully real-time (computed in 4 batches), and the FRTB internal models approach (IMA) implementation is in progress for 2026 regulatory go-live.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VaR limit utilisation (firm-wide)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&gt;85% | Red: &gt;95%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Hard limit breaches per quarter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VaR backtesting exceptions (rolling 250 days)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&gt;4 (amber zone) | Red: &gt;9 (red zone)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Breach cure within SLA</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&lt;90% | Red: &lt;80%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P&amp;L attribution unexplained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 | Red: &gt;10%</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End-of-day VaR daily; intraday sensitivities in 4 batches; real-time hard limit monitoring on key desks; monthly limit framework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Desk Heads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Manage positions within limits, cure breaches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Market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limit monitoring, VaR model, breach oversight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Risk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VaR model validation per SR 11-7</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Product Control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P&amp;L attribution, independent price verification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trading book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VaR monitoring infrastructure and breach discipline. Backtesting in green zone (3 exceptions rolling 250 days). Refinement areas: intraday VaR real-time capability and FRTB IMA implementation for 2026 go-live.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MT-CTRL-01 · Market Risk Limit Monitoring (VaR &amp; Sensitivities)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2026-05-25T13:58:14.080Z</dcterms:created>
  <dcterms:modified xsi:type="dcterms:W3CDTF">2026-05-25T13:58:14.095Z</dcterms:modified>
</cp:coreProperties>
</file>

<file path=docProps/custom.xml><?xml version="1.0" encoding="utf-8"?>
<Properties xmlns="http://schemas.openxmlformats.org/officeDocument/2006/custom-properties" xmlns:vt="http://schemas.openxmlformats.org/officeDocument/2006/docPropsVTypes"/>
</file>