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Trade Surveillance &amp; Market Abuse Monitoring</w:t>
            </w:r>
          </w:p>
          <w:p>
            <w:pPr>
              <w:spacing w:after="120"/>
            </w:pPr>
            <w:r>
              <w:rPr>
                <w:rFonts w:ascii="Calibri" w:cs="Calibri" w:eastAsia="Calibri" w:hAnsi="Calibri"/>
                <w:color w:val="94BAF7"/>
                <w:sz w:val="22"/>
                <w:szCs w:val="22"/>
              </w:rPr>
              <w:t xml:space="preserve">Markets &amp; Trading  |  MT-CTRL-02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Trade Surveillance &amp; Market Abuse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Trade Surveillance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10,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Trade Surveillance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MT-CTRL-02</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Trade Surveillance &amp; Market Abuse Monitoring control as documented in the Q2 2026 RCSA refresh. P. Andersson, Head of Trade Surveillance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Alert Backlog — Core Weakness</w:t>
      </w:r>
    </w:p>
    <w:p>
      <w:pPr>
        <w:spacing w:after="120"/>
      </w:pPr>
      <w:r>
        <w:rPr>
          <w:rFonts w:ascii="Calibri" w:cs="Calibri" w:eastAsia="Calibri" w:hAnsi="Calibri"/>
          <w:sz w:val="21"/>
          <w:szCs w:val="21"/>
        </w:rPr>
        <w:t xml:space="preserve">P. Andersson opened candidly: a backlog of ~1,400 alerts beyond the 30-day SLA has built up since Q4 2025. Root cause is twofold — (a) scenario over-calibration generating excessive false positives (FP rate ~98%), and (b) investigator team running 4 FTE below establishment due to attrition and a hiring freeze lifted only in February. The combination means genuine signals could be sitting un-investigated.</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Scenario Re-Tuning Programme</w:t>
      </w:r>
    </w:p>
    <w:p>
      <w:pPr>
        <w:spacing w:after="120"/>
      </w:pPr>
      <w:r>
        <w:rPr>
          <w:rFonts w:ascii="Calibri" w:cs="Calibri" w:eastAsia="Calibri" w:hAnsi="Calibri"/>
          <w:sz w:val="21"/>
          <w:szCs w:val="21"/>
        </w:rPr>
        <w:t xml:space="preserve">A scenario re-calibration is underway — targeting the 8 highest-volume, lowest-value scenarios that generate ~60% of alerts but almost no STORs. Carefully tested to avoid suppressing genuine abuse signals. Expected to reduce alert volume ~35%. Phased through Q2 2026 with Compliance sign-off on each scenario change.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Backlog Clearance Plan</w:t>
      </w:r>
    </w:p>
    <w:p>
      <w:pPr>
        <w:spacing w:after="120"/>
      </w:pPr>
      <w:r>
        <w:rPr>
          <w:rFonts w:ascii="Calibri" w:cs="Calibri" w:eastAsia="Calibri" w:hAnsi="Calibri"/>
          <w:sz w:val="21"/>
          <w:szCs w:val="21"/>
        </w:rPr>
        <w:t xml:space="preserve">Temporary uplift — 3 contractors onboarded March 2026, plus 4 permanent hires in onboarding. Risk-based triage applied: high-risk scenarios (insider dealing around announcements, spoofing) prioritised; low-risk aged alerts batch-reviewed. Target: backlog within SLA by end Q3 2026. Weekly tracking to Compliance.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STOR Quality &amp; Volume</w:t>
      </w:r>
    </w:p>
    <w:p>
      <w:pPr>
        <w:spacing w:after="120"/>
      </w:pPr>
      <w:r>
        <w:rPr>
          <w:rFonts w:ascii="Calibri" w:cs="Calibri" w:eastAsia="Calibri" w:hAnsi="Calibri"/>
          <w:sz w:val="21"/>
          <w:szCs w:val="21"/>
        </w:rPr>
        <w:t xml:space="preserve">Despite backlog, STOR generation continues for high-priority alerts. Q1 2026: 14 STORs filed (vs 11 in Q1 2025). P. Andersson stressed that no high-risk scenario alerts are in the backlog — the backlog is concentrated in low-risk, high-volume scenarios. STOR quality maintained — FCA has raised no concerns on recent submissions.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Communications Surveillance</w:t>
      </w:r>
    </w:p>
    <w:p>
      <w:pPr>
        <w:spacing w:after="120"/>
      </w:pPr>
      <w:r>
        <w:rPr>
          <w:rFonts w:ascii="Calibri" w:cs="Calibri" w:eastAsia="Calibri" w:hAnsi="Calibri"/>
          <w:sz w:val="21"/>
          <w:szCs w:val="21"/>
        </w:rPr>
        <w:t xml:space="preserve">Behavox comms surveillance functioning well — 100% in-scope trader coverage, AI lexicon updated quarterly. Recent enhancement: voice surveillance now covers mobile recorded lines after a 2025 gap was closed. No comms surveillance backlog. This part of the control is strong.</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Scenario coverage comprehensive but over-calibrated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Re-tuning in progress</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~1,400 alert backlog beyond SLA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ACT-MT02-1 P1</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Procedures current; scenario rationale 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Comms Surveillance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Behavox coverage 100%, no backlog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Trade alert backlog is material; clearance plan credible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ACT-MT02-1 (P1): Clear surveillance alert backlog to within SLA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Sept 30,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ACT-MT02-2: Complete scenario re-calibration (8 high-volume scenarios)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Surveillance Tech / Q2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ACT-MT02-3: Permanent investigator hiring to establishment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Q2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ACT-MT02-4: Weekly backlog tracking to Compliance until cleared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ongoing</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transparent about the weakness and clear on remediation. High-risk scenarios are not in the backlog, which mitigates the most serious concern, but residual risk rating is WEAK pending backlog clearance. P1 action raised. Monthly review to Compliance and Risk Committee.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MT-CTRL-02 · Trade Surveillance &amp; Market Abuse Monitoring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2026-05-25T13:58:14.859Z</dcterms:created>
  <dcterms:modified xsi:type="dcterms:W3CDTF">2026-05-25T13:58:14.859Z</dcterms:modified>
</cp:coreProperties>
</file>

<file path=docProps/custom.xml><?xml version="1.0" encoding="utf-8"?>
<Properties xmlns="http://schemas.openxmlformats.org/officeDocument/2006/custom-properties" xmlns:vt="http://schemas.openxmlformats.org/officeDocument/2006/docPropsVTypes"/>
</file>