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91C1C" w:sz="12"/>
              <w:left w:val="single" w:color="0F2240" w:sz="24"/>
              <w:bottom w:val="single" w:color="B91C1C" w:sz="12"/>
              <w:right w:val="single" w:color="B91C1C" w:sz="4"/>
            </w:tcBorders>
            <w:shd w:fill="0F2240" w:val="clear"/>
            <w:tcMar>
              <w:top w:type="dxa" w:w="360"/>
              <w:left w:type="dxa" w:w="400"/>
              <w:bottom w:type="dxa" w:w="360"/>
              <w:right w:type="dxa" w:w="40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aps/>
                <w:color w:val="94BAF7"/>
                <w:sz w:val="18"/>
                <w:szCs w:val="18"/>
              </w:rPr>
              <w:t xml:space="preserve">CONTROL SPECIFICATION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6"/>
                <w:szCs w:val="36"/>
              </w:rPr>
              <w:t xml:space="preserve">Trade Surveillance &amp; Market Abuse Monitoring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color w:val="94BAF7"/>
                <w:sz w:val="22"/>
                <w:szCs w:val="22"/>
              </w:rPr>
              <w:t xml:space="preserve">Markets &amp; Trading  |  MT-CTRL-02</w:t>
            </w:r>
          </w:p>
        </w:tc>
      </w:tr>
    </w:tbl>
    <w:p>
      <w:pPr>
        <w:spacing w:after="18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Control ID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MT-CTRL-02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Control Name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Trade Surveillance &amp; Market Abuse Monitoring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Business Division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Markets &amp; Trading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Document Type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Control Specification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Prepared By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P. Andersson, Head of Trade Surveillance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Review Date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April 15, 2026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BF1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E4FA8"/>
                <w:sz w:val="20"/>
                <w:szCs w:val="20"/>
              </w:rPr>
              <w:t xml:space="preserve">Weak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GRC Reference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RCSA-2026-Q2 | ServiceNow / MetricStream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</w:rPr>
        <w:t xml:space="preserve"/>
      </w:r>
    </w:p>
    <w:p>
      <w:pPr>
        <w:spacing w:after="1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FA8" w:sz="4"/>
              <w:left w:val="single" w:color="1E4FA8" w:sz="8"/>
              <w:bottom w:val="single" w:color="1E4FA8" w:sz="4"/>
              <w:right w:val="single" w:color="1E4FA8" w:sz="4"/>
            </w:tcBorders>
            <w:shd w:fill="EBF1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E4FA8"/>
                <w:sz w:val="20"/>
                <w:szCs w:val="20"/>
              </w:rPr>
              <w:t xml:space="preserve">1.  Technical Architecture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The Trade Surveillance &amp; Market Abuse Monitoring control is implemented via the following technical stack:</w:t>
      </w:r>
    </w:p>
    <w:p>
      <w:pPr>
        <w:spacing w:after="12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1E4FA8" w:sz="1"/>
              <w:left w:val="single" w:color="1E4FA8" w:sz="1"/>
              <w:bottom w:val="single" w:color="1E4FA8" w:sz="1"/>
              <w:right w:val="single" w:color="1E4FA8" w:sz="1"/>
            </w:tcBorders>
            <w:shd w:fill="1E4FA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6160"/>
            <w:tcBorders>
              <w:top w:val="single" w:color="1E4FA8" w:sz="1"/>
              <w:left w:val="single" w:color="1E4FA8" w:sz="1"/>
              <w:bottom w:val="single" w:color="1E4FA8" w:sz="1"/>
              <w:right w:val="single" w:color="1E4FA8" w:sz="1"/>
            </w:tcBorders>
            <w:shd w:fill="1E4FA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Trade surveillance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NICE Actimize Markets Surveillance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Comms surveillance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Behavox (voice, chat, email AI)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Order data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MiFID II RTS 24 order record store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STOR submission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FCA Connect portal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Scenarios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~40 calibrated alert models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Audit retention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5 years (MAR); 7 years (MiFID II orders)</w:t>
            </w:r>
          </w:p>
        </w:tc>
      </w:tr>
    </w:tbl>
    <w:p>
      <w:pPr>
        <w:spacing w:after="14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FA8" w:sz="4"/>
              <w:left w:val="single" w:color="1E4FA8" w:sz="8"/>
              <w:bottom w:val="single" w:color="1E4FA8" w:sz="4"/>
              <w:right w:val="single" w:color="1E4FA8" w:sz="4"/>
            </w:tcBorders>
            <w:shd w:fill="EBF1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E4FA8"/>
                <w:sz w:val="20"/>
                <w:szCs w:val="20"/>
              </w:rPr>
              <w:t xml:space="preserve">2.  Control Activities &amp; Evidence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The following activities are performed and evidence retained for each operation of the control:</w:t>
      </w:r>
    </w:p>
    <w:p>
      <w:pPr>
        <w:spacing w:after="8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1E4FA8" w:sz="1"/>
              <w:left w:val="single" w:color="1E4FA8" w:sz="1"/>
              <w:bottom w:val="single" w:color="1E4FA8" w:sz="1"/>
              <w:right w:val="single" w:color="1E4FA8" w:sz="1"/>
            </w:tcBorders>
            <w:shd w:fill="1E4FA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Activity</w:t>
            </w:r>
          </w:p>
        </w:tc>
        <w:tc>
          <w:tcPr>
            <w:tcW w:type="dxa" w:w="6160"/>
            <w:tcBorders>
              <w:top w:val="single" w:color="1E4FA8" w:sz="1"/>
              <w:left w:val="single" w:color="1E4FA8" w:sz="1"/>
              <w:bottom w:val="single" w:color="1E4FA8" w:sz="1"/>
              <w:right w:val="single" w:color="1E4FA8" w:sz="1"/>
            </w:tcBorders>
            <w:shd w:fill="1E4FA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Evidence Captured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Control trigger / calculation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Timestamped record in primary system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Monitoring / verification outcome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Outcome values + flags captured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Exception / breach handling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Case opened, owner assigned, audit logged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Escalation (criteria met)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Routed per matrix, notification logged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Resolution / sign-off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Final outcome + supporting evidence retained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Reporting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KRI / MI reports generated and distributed</w:t>
            </w:r>
          </w:p>
        </w:tc>
      </w:tr>
    </w:tbl>
    <w:p>
      <w:pPr>
        <w:spacing w:after="14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FA8" w:sz="4"/>
              <w:left w:val="single" w:color="1E4FA8" w:sz="8"/>
              <w:bottom w:val="single" w:color="1E4FA8" w:sz="4"/>
              <w:right w:val="single" w:color="1E4FA8" w:sz="4"/>
            </w:tcBorders>
            <w:shd w:fill="EBF1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E4FA8"/>
                <w:sz w:val="20"/>
                <w:szCs w:val="20"/>
              </w:rPr>
              <w:t xml:space="preserve">3.  Exception Handling</w:t>
            </w:r>
          </w:p>
        </w:tc>
      </w:tr>
    </w:tbl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Standard exception — documented escalation pathway with SLA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System unavailability — fail-safe / manual fallback per BCP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Data quality issue — referred to data owner; control paused if material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Regulatory threshold breach — immediate escalation to CRO / Head per policy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Significant event — independent review triggered</w:t>
      </w:r>
    </w:p>
    <w:p>
      <w:pPr>
        <w:spacing w:after="14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FA8" w:sz="4"/>
              <w:left w:val="single" w:color="1E4FA8" w:sz="8"/>
              <w:bottom w:val="single" w:color="1E4FA8" w:sz="4"/>
              <w:right w:val="single" w:color="1E4FA8" w:sz="4"/>
            </w:tcBorders>
            <w:shd w:fill="EBF1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E4FA8"/>
                <w:sz w:val="20"/>
                <w:szCs w:val="20"/>
              </w:rPr>
              <w:t xml:space="preserve">4.  Performance Standards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1E4FA8" w:sz="1"/>
              <w:left w:val="single" w:color="1E4FA8" w:sz="1"/>
              <w:bottom w:val="single" w:color="1E4FA8" w:sz="1"/>
              <w:right w:val="single" w:color="1E4FA8" w:sz="1"/>
            </w:tcBorders>
            <w:shd w:fill="1E4FA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Standard</w:t>
            </w:r>
          </w:p>
        </w:tc>
        <w:tc>
          <w:tcPr>
            <w:tcW w:type="dxa" w:w="6160"/>
            <w:tcBorders>
              <w:top w:val="single" w:color="1E4FA8" w:sz="1"/>
              <w:left w:val="single" w:color="1E4FA8" w:sz="1"/>
              <w:bottom w:val="single" w:color="1E4FA8" w:sz="1"/>
              <w:right w:val="single" w:color="1E4FA8" w:sz="1"/>
            </w:tcBorders>
            <w:shd w:fill="1E4FA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Target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Coverage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Per control design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Timeliness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Per control SLA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Audit trail completeness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100% of cases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Documentation currency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Annual review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Training completion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100% in-scope staff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FA8" w:sz="4"/>
              <w:left w:val="single" w:color="1E4FA8" w:sz="8"/>
              <w:bottom w:val="single" w:color="1E4FA8" w:sz="4"/>
              <w:right w:val="single" w:color="1E4FA8" w:sz="4"/>
            </w:tcBorders>
            <w:shd w:fill="EBF1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E4FA8"/>
                <w:sz w:val="20"/>
                <w:szCs w:val="20"/>
              </w:rPr>
              <w:t xml:space="preserve">5.  Dependencies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This control depends on upstream market and reference data feeds, trading and risk platform availability, and trained specialist staff. Material dependencies are subject to separate IT and operational risk monitoring.</w:t>
      </w:r>
    </w:p>
    <w:sectPr>
      <w:headerReference w:type="default" r:id="rId7"/>
      <w:footerReference w:type="default" r:id="rId8"/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4" w:space="1"/>
      </w:pBdr>
      <w:spacing w:before="80"/>
    </w:pPr>
    <w:r>
      <w:rPr>
        <w:rFonts w:ascii="Calibri" w:cs="Calibri" w:eastAsia="Calibri" w:hAnsi="Calibri"/>
        <w:color w:val="64748B"/>
        <w:sz w:val="17"/>
        <w:szCs w:val="17"/>
      </w:rPr>
      <w:t xml:space="preserve">Confidential — For Internal Use Only     Page </w:t>
    </w:r>
    <w:r>
      <w:rPr>
        <w:rFonts w:ascii="Calibri" w:cs="Calibri" w:eastAsia="Calibri" w:hAnsi="Calibri"/>
        <w:color w:val="64748B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none" w:color="FFFFFF" w:sz="0"/>
        <w:left w:val="none" w:color="FFFFFF" w:sz="0"/>
        <w:bottom w:val="single" w:color="1E4FA8" w:sz="6"/>
        <w:right w:val="none" w:color="FFFFFF" w:sz="0"/>
        <w:insideH w:val="single" w:color="auto" w:sz="4"/>
        <w:insideV w:val="single" w:color="auto" w:sz="4"/>
      </w:tblBorders>
    </w:tblPr>
    <w:tblGrid>
      <w:gridCol w:w="6500"/>
      <w:gridCol w:w="2860"/>
    </w:tblGrid>
    <w:tr>
      <w:tc>
        <w:tcPr>
          <w:tcW w:type="dxa" w:w="65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FFFFFF" w:val="clear"/>
          <w:tcMar>
            <w:top w:type="dxa" w:w="60"/>
            <w:left w:type="dxa" w:w="0"/>
            <w:bottom w:type="dxa" w:w="60"/>
            <w:right w:type="dxa" w:w="0"/>
          </w:tcMar>
        </w:tcPr>
        <w:p>
          <w:pPr>
            <w:spacing w:after="120"/>
          </w:pPr>
          <w:r>
            <w:rPr>
              <w:rFonts w:ascii="Calibri" w:cs="Calibri" w:eastAsia="Calibri" w:hAnsi="Calibri"/>
              <w:b/>
              <w:bCs/>
              <w:color w:val="0F2240"/>
              <w:sz w:val="18"/>
              <w:szCs w:val="18"/>
            </w:rPr>
            <w:t xml:space="preserve">MT-CTRL-02 · Trade Surveillance &amp; Market Abuse Monitoring  </w:t>
          </w:r>
          <w:r>
            <w:rPr>
              <w:rFonts w:ascii="Calibri" w:cs="Calibri" w:eastAsia="Calibri" w:hAnsi="Calibri"/>
              <w:color w:val="64748B"/>
              <w:sz w:val="18"/>
              <w:szCs w:val="18"/>
            </w:rPr>
            <w:t xml:space="preserve">| Control Specification</w:t>
          </w:r>
        </w:p>
      </w:tc>
      <w:tc>
        <w:tcPr>
          <w:tcW w:type="dxa" w:w="286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FFFFFF" w:val="clear"/>
          <w:tcMar>
            <w:top w:type="dxa" w:w="60"/>
            <w:left w:type="dxa" w:w="0"/>
            <w:bottom w:type="dxa" w:w="60"/>
            <w:right w:type="dxa" w:w="0"/>
          </w:tcMar>
        </w:tcPr>
        <w:p>
          <w:pPr>
            <w:spacing w:after="120"/>
            <w:jc w:val="right"/>
          </w:pPr>
          <w:r>
            <w:rPr>
              <w:rFonts w:ascii="Calibri" w:cs="Calibri" w:eastAsia="Calibri" w:hAnsi="Calibri"/>
              <w:color w:val="64748B"/>
              <w:sz w:val="16"/>
              <w:szCs w:val="16"/>
            </w:rPr>
            <w:t xml:space="preserve">Global Bank Group  |  Confidential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2026-05-25T13:58:14.753Z</dcterms:created>
  <dcterms:modified xsi:type="dcterms:W3CDTF">2026-05-25T13:58:14.753Z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