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Independent Price Verification (IPV)</w:t>
            </w:r>
          </w:p>
          <w:p>
            <w:pPr>
              <w:spacing w:after="120"/>
            </w:pPr>
            <w:r>
              <w:rPr>
                <w:rFonts w:ascii="Calibri" w:cs="Calibri" w:eastAsia="Calibri" w:hAnsi="Calibri"/>
                <w:color w:val="94BAF7"/>
                <w:sz w:val="22"/>
                <w:szCs w:val="22"/>
              </w:rPr>
              <w:t xml:space="preserve">Markets &amp; Trading  |  MT-CTRL-03</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MT-CTRL-03</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Independent Price Verification (IPV)</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Markets &amp; Trading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 Costa, Head of Product Control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Independently verify the valuation of trading positions against external market data to ensure the balance sheet and P&amp;L reflect fair value, identifying and adjusting for stale, mismarked, or model-derived prices, in line with IFRS 13 fair value requirements and prudent valuation under CRR.</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IFRS 13 — Fair Value Measurement</w:t>
      </w:r>
    </w:p>
    <w:p>
      <w:pPr>
        <w:pStyle w:val="ListParagraph"/>
        <w:numPr>
          <w:ilvl w:val="0"/>
          <w:numId w:val="2"/>
        </w:numPr>
        <w:spacing w:after="80"/>
      </w:pPr>
      <w:r>
        <w:rPr>
          <w:rFonts w:ascii="Calibri" w:cs="Calibri" w:eastAsia="Calibri" w:hAnsi="Calibri"/>
          <w:color w:val="1E293B"/>
          <w:sz w:val="21"/>
          <w:szCs w:val="21"/>
        </w:rPr>
        <w:t xml:space="preserve">CRR Article 105 — Prudent Valuation (AVA)</w:t>
      </w:r>
    </w:p>
    <w:p>
      <w:pPr>
        <w:pStyle w:val="ListParagraph"/>
        <w:numPr>
          <w:ilvl w:val="0"/>
          <w:numId w:val="2"/>
        </w:numPr>
        <w:spacing w:after="80"/>
      </w:pPr>
      <w:r>
        <w:rPr>
          <w:rFonts w:ascii="Calibri" w:cs="Calibri" w:eastAsia="Calibri" w:hAnsi="Calibri"/>
          <w:color w:val="1E293B"/>
          <w:sz w:val="21"/>
          <w:szCs w:val="21"/>
        </w:rPr>
        <w:t xml:space="preserve">PRA Rulebook — valuation requirements</w:t>
      </w:r>
    </w:p>
    <w:p>
      <w:pPr>
        <w:pStyle w:val="ListParagraph"/>
        <w:numPr>
          <w:ilvl w:val="0"/>
          <w:numId w:val="2"/>
        </w:numPr>
        <w:spacing w:after="80"/>
      </w:pPr>
      <w:r>
        <w:rPr>
          <w:rFonts w:ascii="Calibri" w:cs="Calibri" w:eastAsia="Calibri" w:hAnsi="Calibri"/>
          <w:color w:val="1E293B"/>
          <w:sz w:val="21"/>
          <w:szCs w:val="21"/>
        </w:rPr>
        <w:t xml:space="preserve">Basel — prudent valuation framework</w:t>
      </w:r>
    </w:p>
    <w:p>
      <w:pPr>
        <w:pStyle w:val="ListParagraph"/>
        <w:numPr>
          <w:ilvl w:val="0"/>
          <w:numId w:val="2"/>
        </w:numPr>
        <w:spacing w:after="80"/>
      </w:pPr>
      <w:r>
        <w:rPr>
          <w:rFonts w:ascii="Calibri" w:cs="Calibri" w:eastAsia="Calibri" w:hAnsi="Calibri"/>
          <w:color w:val="1E293B"/>
          <w:sz w:val="21"/>
          <w:szCs w:val="21"/>
        </w:rPr>
        <w:t xml:space="preserve">FCA SYSC — adequate financial controls</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Product Control independently verifies front-office marks monthly (daily for liquid products) against independent price sources (consensus services, brokers, exchanges). Variances beyond tolerance trigger investigation and, where confirmed, valuation adjustments. Additional Valuation Adjustments (AVAs) computed for prudent valuation. Level 3 (model-derived) valuations subject to enhanced scrutiny and independent model input verification.</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Independent price sourcing — Totem/consensus, broker quotes, exchange settlement</w:t>
      </w:r>
    </w:p>
    <w:p>
      <w:pPr>
        <w:pStyle w:val="ListParagraph"/>
        <w:numPr>
          <w:ilvl w:val="0"/>
          <w:numId w:val="2"/>
        </w:numPr>
        <w:spacing w:after="80"/>
      </w:pPr>
      <w:r>
        <w:rPr>
          <w:rFonts w:ascii="Calibri" w:cs="Calibri" w:eastAsia="Calibri" w:hAnsi="Calibri"/>
          <w:color w:val="1E293B"/>
          <w:sz w:val="21"/>
          <w:szCs w:val="21"/>
        </w:rPr>
        <w:t xml:space="preserve">Verification frequency — daily (liquid), monthly (less liquid), quarterly (illiquid Level 3)</w:t>
      </w:r>
    </w:p>
    <w:p>
      <w:pPr>
        <w:pStyle w:val="ListParagraph"/>
        <w:numPr>
          <w:ilvl w:val="0"/>
          <w:numId w:val="2"/>
        </w:numPr>
        <w:spacing w:after="80"/>
      </w:pPr>
      <w:r>
        <w:rPr>
          <w:rFonts w:ascii="Calibri" w:cs="Calibri" w:eastAsia="Calibri" w:hAnsi="Calibri"/>
          <w:color w:val="1E293B"/>
          <w:sz w:val="21"/>
          <w:szCs w:val="21"/>
        </w:rPr>
        <w:t xml:space="preserve">Tolerance thresholds — product-specific variance limits trigger investigation</w:t>
      </w:r>
    </w:p>
    <w:p>
      <w:pPr>
        <w:pStyle w:val="ListParagraph"/>
        <w:numPr>
          <w:ilvl w:val="0"/>
          <w:numId w:val="2"/>
        </w:numPr>
        <w:spacing w:after="80"/>
      </w:pPr>
      <w:r>
        <w:rPr>
          <w:rFonts w:ascii="Calibri" w:cs="Calibri" w:eastAsia="Calibri" w:hAnsi="Calibri"/>
          <w:color w:val="1E293B"/>
          <w:sz w:val="21"/>
          <w:szCs w:val="21"/>
        </w:rPr>
        <w:t xml:space="preserve">Valuation adjustments — bid-offer, model risk, concentration, funding (FVA)</w:t>
      </w:r>
    </w:p>
    <w:p>
      <w:pPr>
        <w:pStyle w:val="ListParagraph"/>
        <w:numPr>
          <w:ilvl w:val="0"/>
          <w:numId w:val="2"/>
        </w:numPr>
        <w:spacing w:after="80"/>
      </w:pPr>
      <w:r>
        <w:rPr>
          <w:rFonts w:ascii="Calibri" w:cs="Calibri" w:eastAsia="Calibri" w:hAnsi="Calibri"/>
          <w:color w:val="1E293B"/>
          <w:sz w:val="21"/>
          <w:szCs w:val="21"/>
        </w:rPr>
        <w:t xml:space="preserve">Prudent valuation AVAs — per CRR Article 105 / EBA RTS</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operates effectively. Adequate rating reflects strong process with refinement needed in Level 3 valuation governance — the illiquid book has grown and independent verification of model inputs is resource-stretched.</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IPV coverage of trading book (by value)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&lt;97% | Red: &lt;95%</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Unverified positions beyond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&gt;2% | Red: &gt;5%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Mismark adjustments per quarter (count)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Trend tracked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Level 3 independent input verification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&lt;90% | Red: &lt;80%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AVA calculation timeliness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 by reporting deadline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Daily IPV (liquid), monthly (standard), quarterly (Level 3); month-end valuation adjustments; quarterly AVA.</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Product Control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Independent verification, adjustments, AVA</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Valuation Control Committee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Governance, Level 3 sign-off, adjustment approval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Market Risk (2nd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Independent challenge of valuations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Model Risk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Valuation model validation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Annual valuation control review</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Strong IPV coverage (98.2% by value) and adjustment discipline. Refinement: Level 3 independent input verification stretched by illiquid book growth — currently 88% (amber). ACT-MT03-1 raised for Level 3 resourcing. Prudent valuation AVAs computed correctly.</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MT-CTRL-03 · Independent Price Verification (IPV)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2026-05-25T13:58:15.074Z</dcterms:created>
  <dcterms:modified xsi:type="dcterms:W3CDTF">2026-05-25T13:58:15.074Z</dcterms:modified>
</cp:coreProperties>
</file>

<file path=docProps/custom.xml><?xml version="1.0" encoding="utf-8"?>
<Properties xmlns="http://schemas.openxmlformats.org/officeDocument/2006/custom-properties" xmlns:vt="http://schemas.openxmlformats.org/officeDocument/2006/docPropsVTypes"/>
</file>