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Independent Price Verification (IPV)</w:t>
            </w:r>
          </w:p>
          <w:p>
            <w:pPr>
              <w:spacing w:after="120"/>
            </w:pPr>
            <w:r>
              <w:rPr>
                <w:rFonts w:ascii="Calibri" w:cs="Calibri" w:eastAsia="Calibri" w:hAnsi="Calibri"/>
                <w:color w:val="94BAF7"/>
                <w:sz w:val="22"/>
                <w:szCs w:val="22"/>
              </w:rPr>
              <w:t xml:space="preserve">Markets &amp; Trading  |  MT-CTRL-03</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Independent Price Verification (IPV)</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Costa, Head of Product Control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11,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 Costa, Head of Product Control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MT-CTRL-03</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Independent Price Verification (IPV) control as documented in the Q2 2026 RCSA refresh. M. Costa, Head of Product Control confirmed their ownership and team support.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Level 3 Book Growth</w:t>
      </w:r>
    </w:p>
    <w:p>
      <w:pPr>
        <w:spacing w:after="120"/>
      </w:pPr>
      <w:r>
        <w:rPr>
          <w:rFonts w:ascii="Calibri" w:cs="Calibri" w:eastAsia="Calibri" w:hAnsi="Calibri"/>
          <w:sz w:val="21"/>
          <w:szCs w:val="21"/>
        </w:rPr>
        <w:t xml:space="preserve">M. Costa highlighted the illiquid (Level 3) book has grown ~30% over 12 months, driven by structured credit and bespoke derivatives. Independent verification of Level 3 model inputs (correlations, volatilities, spreads) is more resource-intensive and the team is stretched — current independent input verification at 88% vs 90% target.</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Mismark Detection</w:t>
      </w:r>
    </w:p>
    <w:p>
      <w:pPr>
        <w:spacing w:after="120"/>
      </w:pPr>
      <w:r>
        <w:rPr>
          <w:rFonts w:ascii="Calibri" w:cs="Calibri" w:eastAsia="Calibri" w:hAnsi="Calibri"/>
          <w:sz w:val="21"/>
          <w:szCs w:val="21"/>
        </w:rPr>
        <w:t xml:space="preserve">Q1 2026: 7 mismarks identified through IPV, total adjustment £2.3M (reduction to front-office marks). Largest single mismark £1.1M on a structured rates position where the desk used a stale volatility surface. All corrected, no profit impact misstatement reached external reporting. Desk feedback loop functioning.</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Prudent Valuation AVAs</w:t>
      </w:r>
    </w:p>
    <w:p>
      <w:pPr>
        <w:spacing w:after="120"/>
      </w:pPr>
      <w:r>
        <w:rPr>
          <w:rFonts w:ascii="Calibri" w:cs="Calibri" w:eastAsia="Calibri" w:hAnsi="Calibri"/>
          <w:sz w:val="21"/>
          <w:szCs w:val="21"/>
        </w:rPr>
        <w:t xml:space="preserve">AVAs computed per CRR Article 105 / EBA RTS across all 9 AVA categories (market price uncertainty, close-out costs, model risk, etc.). Q1 2026 total AVA £47M. Methodology independently reviewed. M. Costa confident in prudent valuation compliance.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Independent Price Source Quality</w:t>
      </w:r>
    </w:p>
    <w:p>
      <w:pPr>
        <w:spacing w:after="120"/>
      </w:pPr>
      <w:r>
        <w:rPr>
          <w:rFonts w:ascii="Calibri" w:cs="Calibri" w:eastAsia="Calibri" w:hAnsi="Calibri"/>
          <w:sz w:val="21"/>
          <w:szCs w:val="21"/>
        </w:rPr>
        <w:t xml:space="preserve">Totem consensus coverage strong for vanilla products. For bespoke products, broker quotes used — quality variable. Enhanced procedure for products with &lt;3 independent quotes (escalation to Valuation Control Committee). M. Costa noted thin markets in some EM and structured products as a persistent challenge.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Valuation Control Committee</w:t>
      </w:r>
    </w:p>
    <w:p>
      <w:pPr>
        <w:spacing w:after="120"/>
      </w:pPr>
      <w:r>
        <w:rPr>
          <w:rFonts w:ascii="Calibri" w:cs="Calibri" w:eastAsia="Calibri" w:hAnsi="Calibri"/>
          <w:sz w:val="21"/>
          <w:szCs w:val="21"/>
        </w:rPr>
        <w:t xml:space="preserve">VCC meets monthly, chaired independently of front office. Reviews Level 3 valuations, significant adjustments, AVA. Q1 strong attendance and challenge. M. Costa cited a recent VCC decision to increase model risk AVA on a complex correlation product as evidence of effective independent governance.</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Comprehensive IPV + AVA framework, independent governance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98.2% coverage; Level 3 input verification stretched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ACT-MT03-1</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Methodology and adjustments well-documented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Level 3 Governance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VCC effective; resourcing under pressure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 control; Level 3 resourcing is the focus area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ACT-MT03-1: Resource Level 3 independent input verification to 90%+</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 Costa / Q3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ACT-MT03-2: Enhance bespoke product price-sourcing procedures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Product Control / Q2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ACT-MT03-3: Annual AVA methodology review</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 Costa / Q4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0F5F4"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expert in valuation control. Recommended residual risk rating: ADEQUATE. Strong IPV with Level 3 resourcing as the active focus. No P1 actions.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MT-CTRL-03 · Independent Price Verification (IPV)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2026-05-25T13:58:15.229Z</dcterms:created>
  <dcterms:modified xsi:type="dcterms:W3CDTF">2026-05-25T13:58:15.229Z</dcterms:modified>
</cp:coreProperties>
</file>

<file path=docProps/custom.xml><?xml version="1.0" encoding="utf-8"?>
<Properties xmlns="http://schemas.openxmlformats.org/officeDocument/2006/custom-properties" xmlns:vt="http://schemas.openxmlformats.org/officeDocument/2006/docPropsVTypes"/>
</file>