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6"/>
                <w:szCs w:val="36"/>
              </w:rPr>
              <w:t xml:space="preserve">Counterparty Credit Risk &amp; Margin Management</w:t>
            </w:r>
          </w:p>
          <w:p>
            <w:pPr>
              <w:spacing w:after="120"/>
            </w:pPr>
            <w:r>
              <w:rPr>
                <w:rFonts w:ascii="Calibri" w:cs="Calibri" w:eastAsia="Calibri" w:hAnsi="Calibri"/>
                <w:color w:val="94BAF7"/>
                <w:sz w:val="22"/>
                <w:szCs w:val="22"/>
              </w:rPr>
              <w:t xml:space="preserve">Markets &amp; Trading  |  MT-CTRL-05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Counterparty Credit Risk &amp; Margin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T. Becker, Head of Counterparty Risk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Monitor and manage counterparty credit exposure arising from derivatives and securities financing, ensuring exposures stay within limits, collateral (margin) is correctly called and received, and CVA is managed, in line with Basel SA-CCR and EMIR margin requirements.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Basel SA-CCR — counterparty credit risk capital</w:t>
      </w:r>
    </w:p>
    <w:p>
      <w:pPr>
        <w:pStyle w:val="ListParagraph"/>
        <w:numPr>
          <w:ilvl w:val="0"/>
          <w:numId w:val="2"/>
        </w:numPr>
        <w:spacing w:after="80"/>
      </w:pPr>
      <w:r>
        <w:rPr>
          <w:rFonts w:ascii="Calibri" w:cs="Calibri" w:eastAsia="Calibri" w:hAnsi="Calibri"/>
          <w:color w:val="1E293B"/>
          <w:sz w:val="21"/>
          <w:szCs w:val="21"/>
        </w:rPr>
        <w:t xml:space="preserve">EMIR — margin requirements for uncleared derivatives (initial + variation)</w:t>
      </w:r>
    </w:p>
    <w:p>
      <w:pPr>
        <w:pStyle w:val="ListParagraph"/>
        <w:numPr>
          <w:ilvl w:val="0"/>
          <w:numId w:val="2"/>
        </w:numPr>
        <w:spacing w:after="80"/>
      </w:pPr>
      <w:r>
        <w:rPr>
          <w:rFonts w:ascii="Calibri" w:cs="Calibri" w:eastAsia="Calibri" w:hAnsi="Calibri"/>
          <w:color w:val="1E293B"/>
          <w:sz w:val="21"/>
          <w:szCs w:val="21"/>
        </w:rPr>
        <w:t xml:space="preserve">UK EMIR / BCBS-IOSCO margin framework</w:t>
      </w:r>
    </w:p>
    <w:p>
      <w:pPr>
        <w:pStyle w:val="ListParagraph"/>
        <w:numPr>
          <w:ilvl w:val="0"/>
          <w:numId w:val="2"/>
        </w:numPr>
        <w:spacing w:after="80"/>
      </w:pPr>
      <w:r>
        <w:rPr>
          <w:rFonts w:ascii="Calibri" w:cs="Calibri" w:eastAsia="Calibri" w:hAnsi="Calibri"/>
          <w:color w:val="1E293B"/>
          <w:sz w:val="21"/>
          <w:szCs w:val="21"/>
        </w:rPr>
        <w:t xml:space="preserve">CRR — CVA risk capital charge</w:t>
      </w:r>
    </w:p>
    <w:p>
      <w:pPr>
        <w:pStyle w:val="ListParagraph"/>
        <w:numPr>
          <w:ilvl w:val="0"/>
          <w:numId w:val="2"/>
        </w:numPr>
        <w:spacing w:after="80"/>
      </w:pPr>
      <w:r>
        <w:rPr>
          <w:rFonts w:ascii="Calibri" w:cs="Calibri" w:eastAsia="Calibri" w:hAnsi="Calibri"/>
          <w:color w:val="1E293B"/>
          <w:sz w:val="21"/>
          <w:szCs w:val="21"/>
        </w:rPr>
        <w:t xml:space="preserve">FCA SYSC — risk management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Counterparty exposure (PFE, EAD) calculated daily via SA-CCR and internal simulation. Exposures monitored against counterparty limits. Variation margin called/posted daily; initial margin (IM) under the BCBS-IOSCO framework for in-scope counterparties. Collateral disputes managed. CVA desk hedges credit valuation adjustment risk. Wrong-way risk monitored.</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Exposure measurement — SA-CCR EAD + internal PFE simulation, daily</w:t>
      </w:r>
    </w:p>
    <w:p>
      <w:pPr>
        <w:pStyle w:val="ListParagraph"/>
        <w:numPr>
          <w:ilvl w:val="0"/>
          <w:numId w:val="2"/>
        </w:numPr>
        <w:spacing w:after="80"/>
      </w:pPr>
      <w:r>
        <w:rPr>
          <w:rFonts w:ascii="Calibri" w:cs="Calibri" w:eastAsia="Calibri" w:hAnsi="Calibri"/>
          <w:color w:val="1E293B"/>
          <w:sz w:val="21"/>
          <w:szCs w:val="21"/>
        </w:rPr>
        <w:t xml:space="preserve">Limit monitoring — counterparty credit limits, settlement limits</w:t>
      </w:r>
    </w:p>
    <w:p>
      <w:pPr>
        <w:pStyle w:val="ListParagraph"/>
        <w:numPr>
          <w:ilvl w:val="0"/>
          <w:numId w:val="2"/>
        </w:numPr>
        <w:spacing w:after="80"/>
      </w:pPr>
      <w:r>
        <w:rPr>
          <w:rFonts w:ascii="Calibri" w:cs="Calibri" w:eastAsia="Calibri" w:hAnsi="Calibri"/>
          <w:color w:val="1E293B"/>
          <w:sz w:val="21"/>
          <w:szCs w:val="21"/>
        </w:rPr>
        <w:t xml:space="preserve">Variation margin — daily VM call/post, threshold and MTA applied</w:t>
      </w:r>
    </w:p>
    <w:p>
      <w:pPr>
        <w:pStyle w:val="ListParagraph"/>
        <w:numPr>
          <w:ilvl w:val="0"/>
          <w:numId w:val="2"/>
        </w:numPr>
        <w:spacing w:after="80"/>
      </w:pPr>
      <w:r>
        <w:rPr>
          <w:rFonts w:ascii="Calibri" w:cs="Calibri" w:eastAsia="Calibri" w:hAnsi="Calibri"/>
          <w:color w:val="1E293B"/>
          <w:sz w:val="21"/>
          <w:szCs w:val="21"/>
        </w:rPr>
        <w:t xml:space="preserve">Initial margin — SIMM-based IM for in-scope uncleared derivatives</w:t>
      </w:r>
    </w:p>
    <w:p>
      <w:pPr>
        <w:pStyle w:val="ListParagraph"/>
        <w:numPr>
          <w:ilvl w:val="0"/>
          <w:numId w:val="2"/>
        </w:numPr>
        <w:spacing w:after="80"/>
      </w:pPr>
      <w:r>
        <w:rPr>
          <w:rFonts w:ascii="Calibri" w:cs="Calibri" w:eastAsia="Calibri" w:hAnsi="Calibri"/>
          <w:color w:val="1E293B"/>
          <w:sz w:val="21"/>
          <w:szCs w:val="21"/>
        </w:rPr>
        <w:t xml:space="preserve">Collateral dispute management — dispute resolution within regulatory timelines</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operates effectively. Adequate rating reflects robust margin operations and exposure monitoring, with collateral dispute resolution timeliness and IM model (SIMM) governance as refinement areas.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Counterparty limit breaches per quarter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 | Red: &gt;6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VM call settlement within deadline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&lt;97% | Red: &lt;95%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Collateral disputes aged &gt;5 days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&gt;15 | Red: &gt;30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IM (SIMM) calculation accuracy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&lt;99% | Red: &lt;97%</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Wrong-way risk exposures flagged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Trend tracked</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Daily exposure + margin; real-time limit monitoring on large counterparties; monthly CVA review; quarterly SIMM model governance.</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Counterparty Risk (2nd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Exposure monitoring, limit management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Collateral Operations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Margin calls, collateral movement, disputes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CVA Desk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CVA hedging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Model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SA-CCR and SIMM model validation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counterparty risk review</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Strong margin operations (98% VM timeliness) and exposure monitoring. Refinement: collateral dispute aging and SIMM IM model governance. No material weaknesses.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MT-CTRL-05 · Counterparty Credit Risk &amp; Margin Management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2026-05-25T13:58:15.436Z</dcterms:created>
  <dcterms:modified xsi:type="dcterms:W3CDTF">2026-05-25T13:58:15.436Z</dcterms:modified>
</cp:coreProperties>
</file>

<file path=docProps/custom.xml><?xml version="1.0" encoding="utf-8"?>
<Properties xmlns="http://schemas.openxmlformats.org/officeDocument/2006/custom-properties" xmlns:vt="http://schemas.openxmlformats.org/officeDocument/2006/docPropsVTypes"/>
</file>