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Counterparty Credit Risk &amp; Margin Management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Markets &amp; Trading  |  MT-CTRL-05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MT-CTRL-05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Counterparty Credit Risk &amp; Margin Management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Markets &amp; Trading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T. Becker, Head of Counterparty Risk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  Assessment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Q1 2026 (Jan 1 — Mar 31, 2026)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Sample Population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counterparty population (~400 CSAs) + 50 margin call sample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exposure/margin analysis + sampled margin call verification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Assessor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Internal Audit Counterparty Team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2.  Quantitative Results — KRI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1900"/>
        <w:gridCol w:w="2560"/>
      </w:tblGrid>
      <w:tr>
        <w:tc>
          <w:tcPr>
            <w:tcW w:type="dxa" w:w="31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/ Metric</w:t>
            </w:r>
          </w:p>
        </w:tc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2026 Value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Counterparty limit breaches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&gt;3, Red &gt;6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VM settlement timely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98%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&lt;97%, Red &lt;95%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Disputes aged &gt;5 days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18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&gt;15, Red &gt;30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SIMM IM accuracy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99.2%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&lt;99%, Red &lt;97%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Specific WWR flagged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Trend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Managed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3.  Detailed Findings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1.</w:t>
      </w:r>
      <w:r>
        <w:rPr>
          <w:rFonts w:ascii="Calibri" w:cs="Calibri" w:eastAsia="Calibri" w:hAnsi="Calibri"/>
          <w:sz w:val="21"/>
          <w:szCs w:val="21"/>
        </w:rPr>
        <w:t xml:space="preserve"> VM call timeliness 98% across ~400 CSAs. IM under BCBS-IOSCO fully implemented for in-scope counterparties.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2.</w:t>
      </w:r>
      <w:r>
        <w:rPr>
          <w:rFonts w:ascii="Calibri" w:cs="Calibri" w:eastAsia="Calibri" w:hAnsi="Calibri"/>
          <w:sz w:val="21"/>
          <w:szCs w:val="21"/>
        </w:rPr>
        <w:t xml:space="preserve"> Collateral disputes aged &gt;5 days at 18 (amber) — driven by complex product valuation differences. Dedicated analyst added, ACT-MT05-1 raised.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3.</w:t>
      </w:r>
      <w:r>
        <w:rPr>
          <w:rFonts w:ascii="Calibri" w:cs="Calibri" w:eastAsia="Calibri" w:hAnsi="Calibri"/>
          <w:sz w:val="21"/>
          <w:szCs w:val="21"/>
        </w:rPr>
        <w:t xml:space="preserve"> SA-CCR exposure monitoring and CVA hedging effective. 3 specific wrong-way risk situations managed. SIMM governance evolving.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4.  Control Effectiveness Conclusion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2260"/>
      </w:tblGrid>
      <w:tr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SA-CCR + SIMM + collateral framework robust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98% VM timeliness; dispute aging elevated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Methodology and CSA terms documented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Model Governance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SA-CCR validated; SIMM governance evolving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 control; dispute resolution + SIMM the focus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Conclusion: MT-CTRL-05 operating effectively. Residual risk rating: ADEQUATE. Strong counterparty risk and margin management. Dispute aging and SIMM governance the refinement areas. No material findings.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MT-CTRL-05 · Counterparty Credit Risk &amp; Margin Management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2026-05-25T13:58:15.539Z</dcterms:created>
  <dcterms:modified xsi:type="dcterms:W3CDTF">2026-05-25T13:58:15.539Z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