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6"/>
                <w:szCs w:val="36"/>
              </w:rPr>
              <w:t xml:space="preserve">Best Execution Monitoring</w:t>
            </w:r>
          </w:p>
          <w:p>
            <w:pPr>
              <w:spacing w:after="120"/>
            </w:pPr>
            <w:r>
              <w:rPr>
                <w:rFonts w:ascii="Calibri" w:cs="Calibri" w:eastAsia="Calibri" w:hAnsi="Calibri"/>
                <w:color w:val="94BAF7"/>
                <w:sz w:val="22"/>
                <w:szCs w:val="22"/>
              </w:rPr>
              <w:t xml:space="preserve">Markets &amp; Trading  |  MT-CTRL-06</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MT-CTRL-06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Best Execution Monitoring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Markets &amp; Trading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L. Fontaine, Head of Execution Quality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13,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L. Fontaine, Head of Execution Quality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MT-CTRL-06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opened by confirming the scope of the Best Execution Monitoring control as documented in the Q2 2026 RCSA refresh. L. Fontaine, Head of Execution Quality confirmed their ownership and team support.</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Equities vs Fixed Income Best-Ex</w:t>
      </w:r>
    </w:p>
    <w:p>
      <w:pPr>
        <w:spacing w:after="120"/>
      </w:pPr>
      <w:r>
        <w:rPr>
          <w:rFonts w:ascii="Calibri" w:cs="Calibri" w:eastAsia="Calibri" w:hAnsi="Calibri"/>
          <w:sz w:val="21"/>
          <w:szCs w:val="21"/>
        </w:rPr>
        <w:t xml:space="preserve">L. Fontaine explained equities best-ex measurement is mature (clear benchmarks, lit venues, TCA). Fixed income is harder — OTC, less transparent, fewer benchmarks. The FI best-ex methodology relies more on RFQ competition analysis (number of dealers, spread to mid). Refinement programme underway to strengthen FI measurement.</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Post-RTS 27/28 Framework</w:t>
      </w:r>
    </w:p>
    <w:p>
      <w:pPr>
        <w:spacing w:after="120"/>
      </w:pPr>
      <w:r>
        <w:rPr>
          <w:rFonts w:ascii="Calibri" w:cs="Calibri" w:eastAsia="Calibri" w:hAnsi="Calibri"/>
          <w:sz w:val="21"/>
          <w:szCs w:val="21"/>
        </w:rPr>
        <w:t xml:space="preserve">Following removal of mandatory RTS 27/28 reporting, L. Fontaine confirmed the firm maintained internal execution quality monitoring voluntarily — best-ex obligation persists even without the specific reporting templates. Internal venue analysis and benchmarking continue. FCA expects ongoing best-ex demonstration.</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Outlier Investigation</w:t>
      </w:r>
    </w:p>
    <w:p>
      <w:pPr>
        <w:spacing w:after="120"/>
      </w:pPr>
      <w:r>
        <w:rPr>
          <w:rFonts w:ascii="Calibri" w:cs="Calibri" w:eastAsia="Calibri" w:hAnsi="Calibri"/>
          <w:sz w:val="21"/>
          <w:szCs w:val="21"/>
        </w:rPr>
        <w:t xml:space="preserve">Q1 2026: 312 execution outliers flagged, 289 investigated within SLA (93%). Outliers predominantly explained by legitimate factors (market volatility, large size, illiquid instruments). 4 cases identified process improvements in order handling. No client detriment requiring redress.</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Venue Analysis</w:t>
      </w:r>
    </w:p>
    <w:p>
      <w:pPr>
        <w:spacing w:after="120"/>
      </w:pPr>
      <w:r>
        <w:rPr>
          <w:rFonts w:ascii="Calibri" w:cs="Calibri" w:eastAsia="Calibri" w:hAnsi="Calibri"/>
          <w:sz w:val="21"/>
          <w:szCs w:val="21"/>
        </w:rPr>
        <w:t xml:space="preserve">Quarterly venue analysis covers all material execution venues and systematic internalisers. Q1 analysis confirmed routing logic delivering competitive execution. One venue showing deteriorating fill quality flagged for routing weight reduction. Smart Order Router logic adjusted accordingly.</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Consumer Duty Overlap</w:t>
      </w:r>
    </w:p>
    <w:p>
      <w:pPr>
        <w:spacing w:after="120"/>
      </w:pPr>
      <w:r>
        <w:rPr>
          <w:rFonts w:ascii="Calibri" w:cs="Calibri" w:eastAsia="Calibri" w:hAnsi="Calibri"/>
          <w:sz w:val="21"/>
          <w:szCs w:val="21"/>
        </w:rPr>
        <w:t xml:space="preserve">For any retail client flow, best-ex links to Consumer Duty price-and-value outcome. L. Fontaine confirmed retail execution quality specifically monitored against Consumer Duty fair value expectations. Most flow is professional/institutional but retail overlay applied where relevant.</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Comprehensive TCA + venue analysis for listed products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93% outlier SLA; FI measurement maturing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FI methodology programme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Execution policy current, disclosed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FI Best-Ex</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Methodology less mature than equities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 listed best-ex; FI the refinement area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ACT-MT06-1: Strengthen fixed income best-execution measurement methodology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L. Fontaine / Q3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ACT-MT06-2: Enhance venue analysis depth for SIs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Quant Analytics / Q2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ACT-MT06-3: Annual best-execution policy review and client disclosure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L. Fontaine / Q4 2026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8"/>
              <w:left w:val="single" w:color="0B7A75" w:sz="8"/>
              <w:bottom w:val="single" w:color="0B7A75" w:sz="8"/>
              <w:right w:val="single" w:color="0B7A75" w:sz="8"/>
            </w:tcBorders>
            <w:shd w:fill="E0F5F4"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Control owner knowledgeable on execution quality and MiFID II. Recommended residual risk rating: ADEQUATE. Strong listed best-ex; fixed income methodology the active focus. No P1 actions.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MT-CTRL-06 · Best Execution Monitoring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2026-05-25T13:58:15.619Z</dcterms:created>
  <dcterms:modified xsi:type="dcterms:W3CDTF">2026-05-25T13:58:15.619Z</dcterms:modified>
</cp:coreProperties>
</file>

<file path=docProps/custom.xml><?xml version="1.0" encoding="utf-8"?>
<Properties xmlns="http://schemas.openxmlformats.org/officeDocument/2006/custom-properties" xmlns:vt="http://schemas.openxmlformats.org/officeDocument/2006/docPropsVTypes"/>
</file>