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12"/>
              <w:left w:val="single" w:color="0F2240" w:sz="24"/>
              <w:bottom w:val="single" w:color="0B7A75" w:sz="12"/>
              <w:right w:val="single" w:color="0B7A75"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OWNER INTERVIEW</w:t>
            </w:r>
          </w:p>
          <w:p>
            <w:pPr>
              <w:spacing w:after="120"/>
            </w:pPr>
            <w:r>
              <w:rPr>
                <w:rFonts w:ascii="Calibri" w:cs="Calibri" w:eastAsia="Calibri" w:hAnsi="Calibri"/>
                <w:b/>
                <w:bCs/>
                <w:color w:val="FFFFFF"/>
                <w:sz w:val="36"/>
                <w:szCs w:val="36"/>
              </w:rPr>
              <w:t xml:space="preserve">Trader Mandate &amp; Position Limit Compliance</w:t>
            </w:r>
          </w:p>
          <w:p>
            <w:pPr>
              <w:spacing w:after="120"/>
            </w:pPr>
            <w:r>
              <w:rPr>
                <w:rFonts w:ascii="Calibri" w:cs="Calibri" w:eastAsia="Calibri" w:hAnsi="Calibri"/>
                <w:color w:val="94BAF7"/>
                <w:sz w:val="22"/>
                <w:szCs w:val="22"/>
              </w:rPr>
              <w:t xml:space="preserve">Markets &amp; Trading  |  MT-CTRL-07</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MT-CTRL-07</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Trader Mandate &amp; Position Limit Compliance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Markets &amp; Trading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Owner Interview</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S. Okonkwo, Head of Trading Controls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15,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Strong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Call Details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14, 2026 · per RCSA-2026-Q2 schedule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Format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Microsoft Teams — recorded with consent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Interviewer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S. Chen, Senior Risk Analyst (2nd Line)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Interviewee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S. Okonkwo, Head of Trading Controls (1st Line)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MT-CTRL-07</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Opening — Control Context</w:t>
            </w:r>
          </w:p>
        </w:tc>
      </w:tr>
    </w:tbl>
    <w:p>
      <w:pPr>
        <w:spacing w:after="120"/>
      </w:pPr>
      <w:r>
        <w:rPr>
          <w:rFonts w:ascii="Calibri" w:cs="Calibri" w:eastAsia="Calibri" w:hAnsi="Calibri"/>
          <w:sz w:val="21"/>
          <w:szCs w:val="21"/>
        </w:rPr>
        <w:t xml:space="preserve">S. Chen opened by confirming the scope of the Trader Mandate &amp; Position Limit Compliance control as documented in the Q2 2026 RCSA refresh. S. Okonkwo, Head of Trading Controls confirmed their ownership and team support.</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Discussion — Key Topics</w:t>
            </w:r>
          </w:p>
        </w:tc>
      </w:tr>
    </w:tbl>
    <w:p>
      <w:pPr>
        <w:spacing w:after="120"/>
      </w:pPr>
      <w:r>
        <w:rPr>
          <w:rFonts w:ascii="Calibri" w:cs="Calibri" w:eastAsia="Calibri" w:hAnsi="Calibri"/>
          <w:b/>
          <w:bCs/>
          <w:color w:val="0F2240"/>
          <w:sz w:val="21"/>
          <w:szCs w:val="21"/>
        </w:rPr>
        <w:t xml:space="preserve">1. Pre-Trade Mandate Enforcement</w:t>
      </w:r>
    </w:p>
    <w:p>
      <w:pPr>
        <w:spacing w:after="120"/>
      </w:pPr>
      <w:r>
        <w:rPr>
          <w:rFonts w:ascii="Calibri" w:cs="Calibri" w:eastAsia="Calibri" w:hAnsi="Calibri"/>
          <w:sz w:val="21"/>
          <w:szCs w:val="21"/>
        </w:rPr>
        <w:t xml:space="preserve">S. Okonkwo reported pre-trade controls block out-of-mandate orders at 99.8% effectiveness. The OMS checks each order against the trader's mandate (product, currency, tenor) before acceptance. The 0.2% are edge cases (new instruments pending reference data) routed to manual review, not auto-rejected. Strong preventive control.</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2. Commodity Position Limits</w:t>
      </w:r>
    </w:p>
    <w:p>
      <w:pPr>
        <w:spacing w:after="120"/>
      </w:pPr>
      <w:r>
        <w:rPr>
          <w:rFonts w:ascii="Calibri" w:cs="Calibri" w:eastAsia="Calibri" w:hAnsi="Calibri"/>
          <w:sz w:val="21"/>
          <w:szCs w:val="21"/>
        </w:rPr>
        <w:t xml:space="preserve">Regulatory commodity position limits (MiFID II RTS 21) monitored daily. Zero breaches in Q1 2026. Positions reported to FCA per requirements. S. Okonkwo noted the firm runs limits conservatively, with internal buffers below regulatory thresholds to avoid inadvertent breach.</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3. Mandate Breach Episode</w:t>
      </w:r>
    </w:p>
    <w:p>
      <w:pPr>
        <w:spacing w:after="120"/>
      </w:pPr>
      <w:r>
        <w:rPr>
          <w:rFonts w:ascii="Calibri" w:cs="Calibri" w:eastAsia="Calibri" w:hAnsi="Calibri"/>
          <w:sz w:val="21"/>
          <w:szCs w:val="21"/>
        </w:rPr>
        <w:t xml:space="preserve">One mandate breach in Q1 — a trader executed a product slightly outside approved tenor (10Y vs approved 7Y max) on a manual voice trade that bypassed the OMS gate. Detected next-day by Trading Controls, position transferred to authorised desk, trader re-briefed. No loss. Reinforced voice trade mandate checks. Documented TC-BR-2026-003.</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4. New Product Approval</w:t>
      </w:r>
    </w:p>
    <w:p>
      <w:pPr>
        <w:spacing w:after="120"/>
      </w:pPr>
      <w:r>
        <w:rPr>
          <w:rFonts w:ascii="Calibri" w:cs="Calibri" w:eastAsia="Calibri" w:hAnsi="Calibri"/>
          <w:sz w:val="21"/>
          <w:szCs w:val="21"/>
        </w:rPr>
        <w:t xml:space="preserve">NPA process robust — any new product requires risk, legal, compliance, operations, and finance sign-off before trading. Q1: 4 NPAs approved (2 new EM rates products, 1 structured note, 1 new commodity reference). S. Okonkwo emphasised NPA prevents 'mandate creep' where desks gradually trade beyond original scope.</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5. Mandate Review Cycle</w:t>
      </w:r>
    </w:p>
    <w:p>
      <w:pPr>
        <w:spacing w:after="120"/>
      </w:pPr>
      <w:r>
        <w:rPr>
          <w:rFonts w:ascii="Calibri" w:cs="Calibri" w:eastAsia="Calibri" w:hAnsi="Calibri"/>
          <w:sz w:val="21"/>
          <w:szCs w:val="21"/>
        </w:rPr>
        <w:t xml:space="preserve">All trader mandates reviewed annually and on role change. Q1 review cycle on track. Mandates linked to SMCR certification — a trader cannot hold a mandate without current certification. S. Okonkwo cited the certification-mandate linkage as a key control strength.</w:t>
      </w:r>
    </w:p>
    <w:p>
      <w:pPr>
        <w:spacing w:after="100"/>
      </w:pPr>
      <w:r>
        <w:rPr>
          <w:rFonts w:ascii="Calibri" w:cs="Calibri" w:eastAsia="Calibri" w:hAnsi="Calibri"/>
        </w:rPr>
        <w:t xml:space="preserve"/>
      </w:r>
    </w:p>
    <w:p>
      <w:pPr>
        <w:spacing w:after="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Control Owner Self-Assessment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960"/>
        <w:gridCol w:w="2000"/>
      </w:tblGrid>
      <w:tr>
        <w:tc>
          <w:tcPr>
            <w:tcW w:type="dxa" w:w="19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Dimension</w:t>
            </w:r>
          </w:p>
        </w:tc>
        <w:tc>
          <w:tcPr>
            <w:tcW w:type="dxa" w:w="15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Owner Rating</w:t>
            </w:r>
          </w:p>
        </w:tc>
        <w:tc>
          <w:tcPr>
            <w:tcW w:type="dxa" w:w="396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Rationale</w:t>
            </w:r>
          </w:p>
        </w:tc>
        <w:tc>
          <w:tcPr>
            <w:tcW w:type="dxa" w:w="20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Notes</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Design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Pre-trade enforcement + NPA + position limits comprehensive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Operating Effectiveness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99.8% pre-trade block, zero commodity breaches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Documentation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Mandates documented, NPA governed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Preventive Strength</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Pre-trade gates prevent most breaches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Overall Self-Assessment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Reference-grade trading control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Action Items from Interview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Action</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Owner / Due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ACT-MT07-1: Reinforce voice trade mandate verification (single Q1 breach)</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S. Okonkwo / Q2 2026</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ACT-MT07-2: Annual mandate review cycle completion</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S. Okonkwo / Q3 2026</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ACT-MT07-3: NPA framework annual refresh</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Trading Controls / Q4 2026</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8"/>
              <w:left w:val="single" w:color="15803D" w:sz="8"/>
              <w:bottom w:val="single" w:color="15803D" w:sz="8"/>
              <w:right w:val="single" w:color="15803D" w:sz="8"/>
            </w:tcBorders>
            <w:shd w:fill="DCFCE7"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Interview concluded. Control owner highly competent in trading controls. Recommended residual risk rating: STRONG. Reference-grade pre-trade mandate enforcement. No P1 actions.</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MT-CTRL-07 · Trader Mandate &amp; Position Limit Compliance  </w:t>
          </w:r>
          <w:r>
            <w:rPr>
              <w:rFonts w:ascii="Calibri" w:cs="Calibri" w:eastAsia="Calibri" w:hAnsi="Calibri"/>
              <w:color w:val="64748B"/>
              <w:sz w:val="18"/>
              <w:szCs w:val="18"/>
            </w:rPr>
            <w:t xml:space="preserve">| Control Owner Interview</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Bank Group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2026-05-25T13:58:15.767Z</dcterms:created>
  <dcterms:modified xsi:type="dcterms:W3CDTF">2026-05-25T13:58:15.767Z</dcterms:modified>
</cp:coreProperties>
</file>

<file path=docProps/custom.xml><?xml version="1.0" encoding="utf-8"?>
<Properties xmlns="http://schemas.openxmlformats.org/officeDocument/2006/custom-properties" xmlns:vt="http://schemas.openxmlformats.org/officeDocument/2006/docPropsVTypes"/>
</file>