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12"/>
              <w:left w:val="single" w:color="0F2240" w:sz="24"/>
              <w:bottom w:val="single" w:color="1E4FA8" w:sz="12"/>
              <w:right w:val="single" w:color="1E4FA8"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NARRATIVE</w:t>
            </w:r>
          </w:p>
          <w:p>
            <w:pPr>
              <w:spacing w:after="120"/>
            </w:pPr>
            <w:r>
              <w:rPr>
                <w:rFonts w:ascii="Calibri" w:cs="Calibri" w:eastAsia="Calibri" w:hAnsi="Calibri"/>
                <w:b/>
                <w:bCs/>
                <w:color w:val="FFFFFF"/>
                <w:sz w:val="38"/>
                <w:szCs w:val="38"/>
              </w:rPr>
              <w:t xml:space="preserve">Exception Reporting &amp; Variance Analysis</w:t>
            </w:r>
          </w:p>
          <w:p>
            <w:pPr>
              <w:spacing w:after="120"/>
            </w:pPr>
            <w:r>
              <w:rPr>
                <w:rFonts w:ascii="Calibri" w:cs="Calibri" w:eastAsia="Calibri" w:hAnsi="Calibri"/>
                <w:color w:val="94BAF7"/>
                <w:sz w:val="22"/>
                <w:szCs w:val="22"/>
              </w:rPr>
              <w:t xml:space="preserve">Retail Banking Division  |  RB-CTRL-01</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RB-CTRL-01</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Exception Reporting &amp; Variance Analysis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Retail Banking Division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Narrative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J. Martinez, SVP Retail Banking | Risk &amp; Controls Team</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08-May-2026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Confidential — Internal Use Only</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RCSA-2026-RB-Q2 | ServiceNow / MetricStream</w:t>
            </w:r>
          </w:p>
        </w:tc>
      </w:tr>
    </w:tbl>
    <w:p>
      <w:pPr>
        <w:spacing w:after="100"/>
      </w:pPr>
      <w:r>
        <w:rPr>
          <w:rFonts w:ascii="Calibri" w:cs="Calibri" w:eastAsia="Calibri" w:hAnsi="Calibri"/>
        </w:rPr>
        <w:t xml:space="preserve"/>
      </w:r>
    </w:p>
    <w:p>
      <w:pPr>
        <w:spacing w:after="1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240" w:sz="1"/>
              <w:left w:val="single" w:color="0F2240" w:sz="1"/>
              <w:bottom w:val="single" w:color="0F2240" w:sz="1"/>
              <w:right w:val="single" w:color="0F2240" w:sz="1"/>
            </w:tcBorders>
            <w:shd w:fill="0F2240" w:val="clear"/>
            <w:tcMar>
              <w:top w:type="dxa" w:w="140"/>
              <w:left w:type="dxa" w:w="200"/>
              <w:bottom w:type="dxa" w:w="140"/>
              <w:right w:type="dxa" w:w="200"/>
            </w:tcMar>
          </w:tcPr>
          <w:p>
            <w:pPr>
              <w:spacing w:after="120"/>
            </w:pPr>
            <w:r>
              <w:rPr>
                <w:rFonts w:ascii="Calibri" w:cs="Calibri" w:eastAsia="Calibri" w:hAnsi="Calibri"/>
                <w:b/>
                <w:bCs/>
                <w:color w:val="FFFFFF"/>
                <w:sz w:val="26"/>
                <w:szCs w:val="26"/>
              </w:rPr>
              <w:t xml:space="preserve">1. Control Overview</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Attribute</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Detail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Control ID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RB-CTRL-01</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Control Name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Exception Reporting &amp; Variance Analysis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Control Type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Detective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Control Category</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Data Quality / Model Risk</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Risk Addressed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Data Drift — Application data deviates from verified third-party bureau data</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Control Owner</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Head of Retail Origination Technology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Second Line Oversight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VP Operational Risk — 1st Line / Risk &amp; Compliance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Frequency</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Overnight batch (CCM migration to real-time in progress — P2 action)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GRC Tool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ServiceNow GRC</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Last Tested</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07-May-2026 — Automated regression post-middleware patch</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Effectiveness Rating</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Adequate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Regulatory Reference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OCC 2024 Credit Model Guidance | Basel Op Risk Framework | SR 11-7</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240" w:sz="1"/>
              <w:left w:val="single" w:color="0F2240" w:sz="1"/>
              <w:bottom w:val="single" w:color="0F2240" w:sz="1"/>
              <w:right w:val="single" w:color="0F2240" w:sz="1"/>
            </w:tcBorders>
            <w:shd w:fill="0F2240" w:val="clear"/>
            <w:tcMar>
              <w:top w:type="dxa" w:w="140"/>
              <w:left w:type="dxa" w:w="200"/>
              <w:bottom w:type="dxa" w:w="140"/>
              <w:right w:type="dxa" w:w="200"/>
            </w:tcMar>
          </w:tcPr>
          <w:p>
            <w:pPr>
              <w:spacing w:after="120"/>
            </w:pPr>
            <w:r>
              <w:rPr>
                <w:rFonts w:ascii="Calibri" w:cs="Calibri" w:eastAsia="Calibri" w:hAnsi="Calibri"/>
                <w:b/>
                <w:bCs/>
                <w:color w:val="FFFFFF"/>
                <w:sz w:val="26"/>
                <w:szCs w:val="26"/>
              </w:rPr>
              <w:t xml:space="preserve">2. Control Narrative — How This Control Works</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2.1  Purpose</w:t>
            </w:r>
          </w:p>
        </w:tc>
      </w:tr>
    </w:tbl>
    <w:p>
      <w:pPr>
        <w:spacing w:after="60"/>
      </w:pPr>
      <w:r>
        <w:rPr>
          <w:rFonts w:ascii="Calibri" w:cs="Calibri" w:eastAsia="Calibri" w:hAnsi="Calibri"/>
        </w:rPr>
        <w:t xml:space="preserve"/>
      </w:r>
    </w:p>
    <w:p>
      <w:pPr>
        <w:spacing w:after="120"/>
      </w:pPr>
      <w:r>
        <w:rPr>
          <w:rFonts w:ascii="Calibri" w:cs="Calibri" w:eastAsia="Calibri" w:hAnsi="Calibri"/>
          <w:sz w:val="21"/>
          <w:szCs w:val="21"/>
        </w:rPr>
        <w:t xml:space="preserve">The Exception Reporting &amp; Variance Analysis control is designed to detect data drift between application-submitted financial data (income, debt-to-income ratio, employment status) and independently verified third-party credit bureau data. It serves as a critical detective control in the retail loan origination process, identifying cases where manual data entry errors, applicant misrepresentation, or model scoring anomalies may have bypassed the automated credit decisioning system.</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2.2  Control Mechanism</w:t>
            </w:r>
          </w:p>
        </w:tc>
      </w:tr>
    </w:tbl>
    <w:p>
      <w:pPr>
        <w:spacing w:after="60"/>
      </w:pPr>
      <w:r>
        <w:rPr>
          <w:rFonts w:ascii="Calibri" w:cs="Calibri" w:eastAsia="Calibri" w:hAnsi="Calibri"/>
        </w:rPr>
        <w:t xml:space="preserve"/>
      </w:r>
    </w:p>
    <w:p>
      <w:pPr>
        <w:spacing w:after="120"/>
      </w:pPr>
      <w:r>
        <w:rPr>
          <w:rFonts w:ascii="Calibri" w:cs="Calibri" w:eastAsia="Calibri" w:hAnsi="Calibri"/>
          <w:sz w:val="21"/>
          <w:szCs w:val="21"/>
        </w:rPr>
        <w:t xml:space="preserve">The control operates through an automated flagging engine embedded within the Loan Origination System (LOS). On a nightly batch cycle, the engine performs the following sequence:</w:t>
      </w:r>
    </w:p>
    <w:p>
      <w:pPr>
        <w:spacing w:after="60"/>
      </w:pPr>
      <w:r>
        <w:rPr>
          <w:rFonts w:ascii="Calibri" w:cs="Calibri" w:eastAsia="Calibri" w:hAnsi="Calibri"/>
        </w:rPr>
        <w:t xml:space="preserve"/>
      </w:r>
    </w:p>
    <w:p>
      <w:pPr>
        <w:pStyle w:val="ListParagraph"/>
        <w:numPr>
          <w:ilvl w:val="0"/>
          <w:numId w:val="2"/>
        </w:numPr>
        <w:spacing w:after="80"/>
      </w:pPr>
      <w:r>
        <w:rPr>
          <w:rFonts w:ascii="Calibri" w:cs="Calibri" w:eastAsia="Calibri" w:hAnsi="Calibri"/>
          <w:color w:val="1E293B"/>
          <w:sz w:val="21"/>
          <w:szCs w:val="21"/>
        </w:rPr>
        <w:t xml:space="preserve">Data Extraction: All loan applications processed during the business day are extracted from the LOS staging environment.</w:t>
      </w:r>
    </w:p>
    <w:p>
      <w:pPr>
        <w:pStyle w:val="ListParagraph"/>
        <w:numPr>
          <w:ilvl w:val="0"/>
          <w:numId w:val="2"/>
        </w:numPr>
        <w:spacing w:after="80"/>
      </w:pPr>
      <w:r>
        <w:rPr>
          <w:rFonts w:ascii="Calibri" w:cs="Calibri" w:eastAsia="Calibri" w:hAnsi="Calibri"/>
          <w:color w:val="1E293B"/>
          <w:sz w:val="21"/>
          <w:szCs w:val="21"/>
        </w:rPr>
        <w:t xml:space="preserve">Bureau Data Pull: The engine calls the three National Consumer Reporting Agencies (NCRAs) — Equifax, Experian, and TransUnion — to retrieve verified income, employment, and credit data for each applicant.</w:t>
      </w:r>
    </w:p>
    <w:p>
      <w:pPr>
        <w:pStyle w:val="ListParagraph"/>
        <w:numPr>
          <w:ilvl w:val="0"/>
          <w:numId w:val="2"/>
        </w:numPr>
        <w:spacing w:after="80"/>
      </w:pPr>
      <w:r>
        <w:rPr>
          <w:rFonts w:ascii="Calibri" w:cs="Calibri" w:eastAsia="Calibri" w:hAnsi="Calibri"/>
          <w:color w:val="1E293B"/>
          <w:sz w:val="21"/>
          <w:szCs w:val="21"/>
        </w:rPr>
        <w:t xml:space="preserve">Variance Calculation: The engine computes the absolute and percentage variance between application-submitted figures and bureau-verified figures for: (i) Annual Gross Income, (ii) Debt-to-Income (DTI) Ratio, (iii) Employment Status Verification.</w:t>
      </w:r>
    </w:p>
    <w:p>
      <w:pPr>
        <w:pStyle w:val="ListParagraph"/>
        <w:numPr>
          <w:ilvl w:val="0"/>
          <w:numId w:val="2"/>
        </w:numPr>
        <w:spacing w:after="80"/>
      </w:pPr>
      <w:r>
        <w:rPr>
          <w:rFonts w:ascii="Calibri" w:cs="Calibri" w:eastAsia="Calibri" w:hAnsi="Calibri"/>
          <w:color w:val="1E293B"/>
          <w:sz w:val="21"/>
          <w:szCs w:val="21"/>
        </w:rPr>
        <w:t xml:space="preserve">Threshold Flagging: Applications where variance exceeds defined tolerance thresholds are automatically flagged as exceptions. Current thresholds: Income variance &gt;15%, DTI variance &gt;5 percentage points.</w:t>
      </w:r>
    </w:p>
    <w:p>
      <w:pPr>
        <w:pStyle w:val="ListParagraph"/>
        <w:numPr>
          <w:ilvl w:val="0"/>
          <w:numId w:val="2"/>
        </w:numPr>
        <w:spacing w:after="80"/>
      </w:pPr>
      <w:r>
        <w:rPr>
          <w:rFonts w:ascii="Calibri" w:cs="Calibri" w:eastAsia="Calibri" w:hAnsi="Calibri"/>
          <w:color w:val="1E293B"/>
          <w:sz w:val="21"/>
          <w:szCs w:val="21"/>
        </w:rPr>
        <w:t xml:space="preserve">Exception Queue Generation: Flagged applications are routed to the Credit Exceptions Queue in ServiceNow for manual review by a senior credit analyst before loan disbursement is authorised.</w:t>
      </w:r>
    </w:p>
    <w:p>
      <w:pPr>
        <w:pStyle w:val="ListParagraph"/>
        <w:numPr>
          <w:ilvl w:val="0"/>
          <w:numId w:val="2"/>
        </w:numPr>
        <w:spacing w:after="80"/>
      </w:pPr>
      <w:r>
        <w:rPr>
          <w:rFonts w:ascii="Calibri" w:cs="Calibri" w:eastAsia="Calibri" w:hAnsi="Calibri"/>
          <w:color w:val="1E293B"/>
          <w:sz w:val="21"/>
          <w:szCs w:val="21"/>
        </w:rPr>
        <w:t xml:space="preserve">Reporting: A daily Exception Summary Report is generated and distributed to the Head of Retail Origination, Chief Credit Officer, and the Second Line Risk team by 07:00 EST each business day.</w:t>
      </w:r>
    </w:p>
    <w:p>
      <w:pPr>
        <w:spacing w:after="1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8"/>
              <w:bottom w:val="single" w:color="B45309" w:sz="4"/>
              <w:right w:val="single" w:color="B45309" w:sz="4"/>
            </w:tcBorders>
            <w:shd w:fill="FEF3C7" w:val="clear"/>
            <w:tcMar>
              <w:top w:type="dxa" w:w="100"/>
              <w:left w:type="dxa" w:w="160"/>
              <w:bottom w:type="dxa" w:w="100"/>
              <w:right w:type="dxa" w:w="160"/>
            </w:tcMar>
          </w:tcPr>
          <w:p>
            <w:pPr>
              <w:spacing w:after="120"/>
            </w:pPr>
            <w:r>
              <w:rPr>
                <w:rFonts w:ascii="Calibri" w:cs="Calibri" w:eastAsia="Calibri" w:hAnsi="Calibri"/>
                <w:b/>
                <w:bCs/>
                <w:color w:val="B45309"/>
                <w:sz w:val="20"/>
                <w:szCs w:val="20"/>
              </w:rPr>
              <w:t xml:space="preserve">2.3  Known Limitations &amp; Open Actions</w:t>
            </w:r>
          </w:p>
        </w:tc>
      </w:tr>
    </w:tbl>
    <w:p>
      <w:pPr>
        <w:spacing w:after="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8"/>
              <w:bottom w:val="single" w:color="B45309" w:sz="8"/>
              <w:right w:val="single" w:color="B45309" w:sz="8"/>
            </w:tcBorders>
            <w:shd w:fill="FEF3C7"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  Material Gap Identified: The control operates on an overnight batch cycle, creating an intraday vulnerability window of up to 18 hours during which variance exceptions may not be detected. During this window, loan disbursements could theoretically proceed on applications with undetected data anomalies. This gap is classified as a P2 Priority Action (ACT-002) with a 60-day remediation timeline. Recommended mitigation: upgrade to real-time Continuous Control Monitoring (CCM) aligned to the bank's agile middleware deployment cadence.</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240" w:sz="1"/>
              <w:left w:val="single" w:color="0F2240" w:sz="1"/>
              <w:bottom w:val="single" w:color="0F2240" w:sz="1"/>
              <w:right w:val="single" w:color="0F2240" w:sz="1"/>
            </w:tcBorders>
            <w:shd w:fill="0F2240" w:val="clear"/>
            <w:tcMar>
              <w:top w:type="dxa" w:w="140"/>
              <w:left w:type="dxa" w:w="200"/>
              <w:bottom w:type="dxa" w:w="140"/>
              <w:right w:type="dxa" w:w="200"/>
            </w:tcMar>
          </w:tcPr>
          <w:p>
            <w:pPr>
              <w:spacing w:after="120"/>
            </w:pPr>
            <w:r>
              <w:rPr>
                <w:rFonts w:ascii="Calibri" w:cs="Calibri" w:eastAsia="Calibri" w:hAnsi="Calibri"/>
                <w:b/>
                <w:bCs/>
                <w:color w:val="FFFFFF"/>
                <w:sz w:val="26"/>
                <w:szCs w:val="26"/>
              </w:rPr>
              <w:t xml:space="preserve">3. Control Objectives</w:t>
            </w:r>
          </w:p>
        </w:tc>
      </w:tr>
    </w:tbl>
    <w:p>
      <w:pPr>
        <w:spacing w:after="80"/>
      </w:pPr>
      <w:r>
        <w:rPr>
          <w:rFonts w:ascii="Calibri" w:cs="Calibri" w:eastAsia="Calibri" w:hAnsi="Calibri"/>
        </w:rPr>
        <w:t xml:space="preserve"/>
      </w:r>
    </w:p>
    <w:p>
      <w:pPr>
        <w:pStyle w:val="ListParagraph"/>
        <w:numPr>
          <w:ilvl w:val="0"/>
          <w:numId w:val="2"/>
        </w:numPr>
        <w:spacing w:after="80"/>
      </w:pPr>
      <w:r>
        <w:rPr>
          <w:rFonts w:ascii="Calibri" w:cs="Calibri" w:eastAsia="Calibri" w:hAnsi="Calibri"/>
          <w:color w:val="1E293B"/>
          <w:sz w:val="21"/>
          <w:szCs w:val="21"/>
        </w:rPr>
        <w:t xml:space="preserve">Detect and quarantine loan applications where applicant-submitted financial data deviates materially from bureau-verified data before disbursement</w:t>
      </w:r>
    </w:p>
    <w:p>
      <w:pPr>
        <w:pStyle w:val="ListParagraph"/>
        <w:numPr>
          <w:ilvl w:val="0"/>
          <w:numId w:val="2"/>
        </w:numPr>
        <w:spacing w:after="80"/>
      </w:pPr>
      <w:r>
        <w:rPr>
          <w:rFonts w:ascii="Calibri" w:cs="Calibri" w:eastAsia="Calibri" w:hAnsi="Calibri"/>
          <w:color w:val="1E293B"/>
          <w:sz w:val="21"/>
          <w:szCs w:val="21"/>
        </w:rPr>
        <w:t xml:space="preserve">Prevent credit losses attributable to manual data entry errors or applicant misrepresentation in the origination process</w:t>
      </w:r>
    </w:p>
    <w:p>
      <w:pPr>
        <w:pStyle w:val="ListParagraph"/>
        <w:numPr>
          <w:ilvl w:val="0"/>
          <w:numId w:val="2"/>
        </w:numPr>
        <w:spacing w:after="80"/>
      </w:pPr>
      <w:r>
        <w:rPr>
          <w:rFonts w:ascii="Calibri" w:cs="Calibri" w:eastAsia="Calibri" w:hAnsi="Calibri"/>
          <w:color w:val="1E293B"/>
          <w:sz w:val="21"/>
          <w:szCs w:val="21"/>
        </w:rPr>
        <w:t xml:space="preserve">Provide an auditable evidence trail of all variance exceptions identified, reviewed, and resolved — satisfying OCC examination requirements</w:t>
      </w:r>
    </w:p>
    <w:p>
      <w:pPr>
        <w:pStyle w:val="ListParagraph"/>
        <w:numPr>
          <w:ilvl w:val="0"/>
          <w:numId w:val="2"/>
        </w:numPr>
        <w:spacing w:after="80"/>
      </w:pPr>
      <w:r>
        <w:rPr>
          <w:rFonts w:ascii="Calibri" w:cs="Calibri" w:eastAsia="Calibri" w:hAnsi="Calibri"/>
          <w:color w:val="1E293B"/>
          <w:sz w:val="21"/>
          <w:szCs w:val="21"/>
        </w:rPr>
        <w:t xml:space="preserve">Maintain compliance with 2026 FCRA requirements for data accuracy in consumer lending decisions</w:t>
      </w:r>
    </w:p>
    <w:p>
      <w:pPr>
        <w:pStyle w:val="ListParagraph"/>
        <w:numPr>
          <w:ilvl w:val="0"/>
          <w:numId w:val="2"/>
        </w:numPr>
        <w:spacing w:after="80"/>
      </w:pPr>
      <w:r>
        <w:rPr>
          <w:rFonts w:ascii="Calibri" w:cs="Calibri" w:eastAsia="Calibri" w:hAnsi="Calibri"/>
          <w:color w:val="1E293B"/>
          <w:sz w:val="21"/>
          <w:szCs w:val="21"/>
        </w:rPr>
        <w:t xml:space="preserve">Support SR 11-7 model risk governance by validating that the credit scoring model is operating on accurate input data</w:t>
      </w:r>
    </w:p>
    <w:p>
      <w:pPr>
        <w:spacing w:after="1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240" w:sz="1"/>
              <w:left w:val="single" w:color="0F2240" w:sz="1"/>
              <w:bottom w:val="single" w:color="0F2240" w:sz="1"/>
              <w:right w:val="single" w:color="0F2240" w:sz="1"/>
            </w:tcBorders>
            <w:shd w:fill="0F2240" w:val="clear"/>
            <w:tcMar>
              <w:top w:type="dxa" w:w="140"/>
              <w:left w:type="dxa" w:w="200"/>
              <w:bottom w:type="dxa" w:w="140"/>
              <w:right w:type="dxa" w:w="200"/>
            </w:tcMar>
          </w:tcPr>
          <w:p>
            <w:pPr>
              <w:spacing w:after="120"/>
            </w:pPr>
            <w:r>
              <w:rPr>
                <w:rFonts w:ascii="Calibri" w:cs="Calibri" w:eastAsia="Calibri" w:hAnsi="Calibri"/>
                <w:b/>
                <w:bCs/>
                <w:color w:val="FFFFFF"/>
                <w:sz w:val="26"/>
                <w:szCs w:val="26"/>
              </w:rPr>
              <w:t xml:space="preserve">4. Sign-Off &amp; Attestation</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Owner Sign-off</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J. Martinez, SVP Retail Banking — 08-May-2026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2nd Line Reviewer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 Williams, CCO — Pending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Internal Audit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Last reviewed Q1 2026 — 2 findings, 1 in remediation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Next 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08-Aug-2026 (Quarterly)</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RB-CTRL-01  </w:t>
          </w:r>
          <w:r>
            <w:rPr>
              <w:rFonts w:ascii="Calibri" w:cs="Calibri" w:eastAsia="Calibri" w:hAnsi="Calibri"/>
              <w:color w:val="64748B"/>
              <w:sz w:val="18"/>
              <w:szCs w:val="18"/>
            </w:rPr>
            <w:t xml:space="preserve">| Control Narrative</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Retail Bank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2026-05-12T07:49:03.222Z</dcterms:created>
  <dcterms:modified xsi:type="dcterms:W3CDTF">2026-05-12T07:49:03.222Z</dcterms:modified>
</cp:coreProperties>
</file>

<file path=docProps/custom.xml><?xml version="1.0" encoding="utf-8"?>
<Properties xmlns="http://schemas.openxmlformats.org/officeDocument/2006/custom-properties" xmlns:vt="http://schemas.openxmlformats.org/officeDocument/2006/docPropsVTypes"/>
</file>