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2"/>
              <w:left w:val="single" w:color="0F2240" w:sz="24"/>
              <w:bottom w:val="single" w:color="B45309" w:sz="12"/>
              <w:right w:val="single" w:color="B45309"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Post-Decision Quality Assurance — Human-in-the-Loop (HITL)</w:t>
            </w:r>
          </w:p>
          <w:p>
            <w:pPr>
              <w:spacing w:after="120"/>
            </w:pPr>
            <w:r>
              <w:rPr>
                <w:rFonts w:ascii="Calibri" w:cs="Calibri" w:eastAsia="Calibri" w:hAnsi="Calibri"/>
                <w:color w:val="94BAF7"/>
                <w:sz w:val="22"/>
                <w:szCs w:val="22"/>
              </w:rPr>
              <w:t xml:space="preserve">Retail Banking Division  |  RB-CTRL-02</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RB-CTRL-02</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Post-Decision Quality Assurance — Human-in-the-Loop (HITL)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Division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Chief Compliance Officer | Risk &amp; Controls Team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30-Apr-2026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Confidential — Internal Use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1. Control Overview</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Attribute</w:t>
            </w:r>
          </w:p>
        </w:tc>
        <w:tc>
          <w:tcPr>
            <w:tcW w:type="dxa" w:w="6160"/>
            <w:tcBorders>
              <w:top w:val="single" w:color="B45309" w:sz="1"/>
              <w:left w:val="single" w:color="B45309" w:sz="1"/>
              <w:bottom w:val="single" w:color="B45309" w:sz="1"/>
              <w:right w:val="single" w:color="B45309" w:sz="1"/>
            </w:tcBorders>
            <w:shd w:fill="B45309"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ID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RB-CTRL-02</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Name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Post-Decision QA — Human-in-the-Loop (HITL)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Type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Detective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Category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Fraud Prevention — Synthetic Identity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Risk Addressed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Synthetic Identity Fraud — sophisticated identities passing automated onboarding checks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Control Owner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Chief Compliance Officer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Testing Frequency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Monthly — aligned to NCRA reporting cycle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Sample Rate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8% of Approved-but-Unfunded loans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GRC Tool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MetricStream</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Last Tested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30-Apr-2026 — Monthly RCSA cycle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Effectiveness Rating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WEAK — 3 synthetic ID misses in April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Regulatory Reference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2026 FCRA | NCRA Monthly Reject/Error Reporting | GENIUS Act §7(b) Jul 2025</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2. Control Narrative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2.1  Purpose</w:t>
            </w:r>
          </w:p>
        </w:tc>
      </w:tr>
    </w:tbl>
    <w:p>
      <w:pPr>
        <w:spacing w:after="60"/>
      </w:pPr>
      <w:r>
        <w:rPr>
          <w:rFonts w:ascii="Calibri" w:cs="Calibri" w:eastAsia="Calibri" w:hAnsi="Calibri"/>
        </w:rPr>
        <w:t xml:space="preserve"/>
      </w:r>
    </w:p>
    <w:p>
      <w:pPr>
        <w:spacing w:after="120"/>
      </w:pPr>
      <w:r>
        <w:rPr>
          <w:rFonts w:ascii="Calibri" w:cs="Calibri" w:eastAsia="Calibri" w:hAnsi="Calibri"/>
          <w:sz w:val="21"/>
          <w:szCs w:val="21"/>
        </w:rPr>
        <w:t xml:space="preserve">The Post-Decision QA HITL control provides a critical second-pass verification layer for approved retail loan applications before funds are disbursed. It is specifically designed to identify synthetic identity fraud — where fraudsters construct fictitious identities using combinations of real and fabricated information to pass automated credit decisioning systems. This control satisfies the 2026 FCRA requirement to report monthly Reject and Error rates to the National Consumer Reporting Agencies (NCRAs).</w:t>
      </w:r>
    </w:p>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8"/>
              <w:bottom w:val="single" w:color="B91C1C" w:sz="4"/>
              <w:right w:val="single" w:color="B91C1C" w:sz="4"/>
            </w:tcBorders>
            <w:shd w:fill="FEE2E2" w:val="clear"/>
            <w:tcMar>
              <w:top w:type="dxa" w:w="100"/>
              <w:left w:type="dxa" w:w="160"/>
              <w:bottom w:type="dxa" w:w="100"/>
              <w:right w:type="dxa" w:w="160"/>
            </w:tcMar>
          </w:tcPr>
          <w:p>
            <w:pPr>
              <w:spacing w:after="120"/>
            </w:pPr>
            <w:r>
              <w:rPr>
                <w:rFonts w:ascii="Calibri" w:cs="Calibri" w:eastAsia="Calibri" w:hAnsi="Calibri"/>
                <w:b/>
                <w:bCs/>
                <w:color w:val="B91C1C"/>
                <w:sz w:val="20"/>
                <w:szCs w:val="20"/>
              </w:rPr>
              <w:t xml:space="preserve">2.2  Critical Finding — GENIUS Act Compliance Gap</w:t>
            </w:r>
          </w:p>
        </w:tc>
      </w:tr>
    </w:tbl>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  P1 ACTION REQUIRED: The liveness detection AI model underpinning this control was last retrained in Q3 2025 — prior to the GENIUS Act coming into force in July 2025. The GENIUS Act mandates updated digital origination oversight standards for liveness verification. The April 2026 RCSA cycle identified 3 synthetic identity misses where the AI flagged anomalies but the human reviewer cleared the applications. Root cause: the model's synthetic ID pattern library predates post-GENIUS Act fraud typologies. Retraining is classified as ACT-001 — P1, 30-day remediation deadline.</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EF3C7" w:val="clear"/>
            <w:tcMar>
              <w:top w:type="dxa" w:w="100"/>
              <w:left w:type="dxa" w:w="160"/>
              <w:bottom w:type="dxa" w:w="100"/>
              <w:right w:type="dxa" w:w="160"/>
            </w:tcMar>
          </w:tcPr>
          <w:p>
            <w:pPr>
              <w:spacing w:after="120"/>
            </w:pPr>
            <w:r>
              <w:rPr>
                <w:rFonts w:ascii="Calibri" w:cs="Calibri" w:eastAsia="Calibri" w:hAnsi="Calibri"/>
                <w:b/>
                <w:bCs/>
                <w:color w:val="B45309"/>
                <w:sz w:val="20"/>
                <w:szCs w:val="20"/>
              </w:rPr>
              <w:t xml:space="preserve">2.3  Control Mechanism</w:t>
            </w:r>
          </w:p>
        </w:tc>
      </w:tr>
    </w:tbl>
    <w:p>
      <w:pPr>
        <w:spacing w:after="6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Sampling: At month-end, a statistically significant random sample of 8% of all Approved-but-Unfunded loans from the prior month is selected for HITL review</w:t>
      </w:r>
    </w:p>
    <w:p>
      <w:pPr>
        <w:pStyle w:val="ListParagraph"/>
        <w:numPr>
          <w:ilvl w:val="0"/>
          <w:numId w:val="2"/>
        </w:numPr>
        <w:spacing w:after="80"/>
      </w:pPr>
      <w:r>
        <w:rPr>
          <w:rFonts w:ascii="Calibri" w:cs="Calibri" w:eastAsia="Calibri" w:hAnsi="Calibri"/>
          <w:color w:val="1E293B"/>
          <w:sz w:val="21"/>
          <w:szCs w:val="21"/>
        </w:rPr>
        <w:t xml:space="preserve">AI Pre-Screening: The liveness detection AI model (last retrained Q3 2025) performs automated document authenticity scoring — ID documents, proof of income, utility bills — using OCR and liveness detection algorithms</w:t>
      </w:r>
    </w:p>
    <w:p>
      <w:pPr>
        <w:pStyle w:val="ListParagraph"/>
        <w:numPr>
          <w:ilvl w:val="0"/>
          <w:numId w:val="2"/>
        </w:numPr>
        <w:spacing w:after="80"/>
      </w:pPr>
      <w:r>
        <w:rPr>
          <w:rFonts w:ascii="Calibri" w:cs="Calibri" w:eastAsia="Calibri" w:hAnsi="Calibri"/>
          <w:color w:val="1E293B"/>
          <w:sz w:val="21"/>
          <w:szCs w:val="21"/>
        </w:rPr>
        <w:t xml:space="preserve">Human Review: A trained compliance analyst reviews all applications where the AI confidence score falls below 85%, plus a random 20% of high-confidence approvals</w:t>
      </w:r>
    </w:p>
    <w:p>
      <w:pPr>
        <w:pStyle w:val="ListParagraph"/>
        <w:numPr>
          <w:ilvl w:val="0"/>
          <w:numId w:val="2"/>
        </w:numPr>
        <w:spacing w:after="80"/>
      </w:pPr>
      <w:r>
        <w:rPr>
          <w:rFonts w:ascii="Calibri" w:cs="Calibri" w:eastAsia="Calibri" w:hAnsi="Calibri"/>
          <w:color w:val="1E293B"/>
          <w:sz w:val="21"/>
          <w:szCs w:val="21"/>
        </w:rPr>
        <w:t xml:space="preserve">Decision: Analyst approves disbursement, refers to senior analyst, or escalates to the Financial Crime team for SARreporting</w:t>
      </w:r>
    </w:p>
    <w:p>
      <w:pPr>
        <w:pStyle w:val="ListParagraph"/>
        <w:numPr>
          <w:ilvl w:val="0"/>
          <w:numId w:val="2"/>
        </w:numPr>
        <w:spacing w:after="80"/>
      </w:pPr>
      <w:r>
        <w:rPr>
          <w:rFonts w:ascii="Calibri" w:cs="Calibri" w:eastAsia="Calibri" w:hAnsi="Calibri"/>
          <w:color w:val="1E293B"/>
          <w:sz w:val="21"/>
          <w:szCs w:val="21"/>
        </w:rPr>
        <w:t xml:space="preserve">NCRA Reporting: Monthly Reject/Error rates are compiled and reported to Equifax, Experian, and TransUnion by the 5th business day of the following month per 2026 FCRA requirements</w:t>
      </w:r>
    </w:p>
    <w:p>
      <w:pPr>
        <w:spacing w:after="1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3. April 2026 RCSA Findings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Finding</w:t>
            </w:r>
          </w:p>
        </w:tc>
        <w:tc>
          <w:tcPr>
            <w:tcW w:type="dxa" w:w="22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Severity</w:t>
            </w:r>
          </w:p>
        </w:tc>
        <w:tc>
          <w:tcPr>
            <w:tcW w:type="dxa" w:w="24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Detail</w:t>
            </w:r>
          </w:p>
        </w:tc>
        <w:tc>
          <w:tcPr>
            <w:tcW w:type="dxa" w:w="25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Status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Synthetic ID Miss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HIGH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AI scored 91% confidence — human cleared. Post-review identified fabricated SSN pattern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Referred to Financial Crime — 01-May-2026</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Synthetic ID Miss #2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HIGH</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AI scored 88% confidence — human cleared. Income documents later identified as AI-generated</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SAR filed — 03-May-2026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Synthetic ID Miss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MEDIUM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AI scored 83% confidence — human cleared. Address history inconsistency missed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Under investigation — 08-May-2026</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Model Vintage Gap</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CRITICAL</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Liveness model trained Q3 2025 — predates GENIUS Act fraud typologies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P1 Action ACT-001 — 30 days</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240" w:sz="1"/>
              <w:left w:val="single" w:color="0F2240" w:sz="1"/>
              <w:bottom w:val="single" w:color="0F2240" w:sz="1"/>
              <w:right w:val="single" w:color="0F2240" w:sz="1"/>
            </w:tcBorders>
            <w:shd w:fill="0F2240" w:val="clear"/>
            <w:tcMar>
              <w:top w:type="dxa" w:w="140"/>
              <w:left w:type="dxa" w:w="200"/>
              <w:bottom w:type="dxa" w:w="140"/>
              <w:right w:type="dxa" w:w="200"/>
            </w:tcMar>
          </w:tcPr>
          <w:p>
            <w:pPr>
              <w:spacing w:after="120"/>
            </w:pPr>
            <w:r>
              <w:rPr>
                <w:rFonts w:ascii="Calibri" w:cs="Calibri" w:eastAsia="Calibri" w:hAnsi="Calibri"/>
                <w:b/>
                <w:bCs/>
                <w:color w:val="FFFFFF"/>
                <w:sz w:val="26"/>
                <w:szCs w:val="26"/>
              </w:rPr>
              <w:t xml:space="preserve">4. Regulatory Linkages</w:t>
            </w:r>
          </w:p>
        </w:tc>
      </w:tr>
    </w:tbl>
    <w:p>
      <w:pPr>
        <w:spacing w:after="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Regulation</w:t>
            </w:r>
          </w:p>
        </w:tc>
        <w:tc>
          <w:tcPr>
            <w:tcW w:type="dxa" w:w="6160"/>
            <w:tcBorders>
              <w:top w:val="single" w:color="B91C1C" w:sz="1"/>
              <w:left w:val="single" w:color="B91C1C" w:sz="1"/>
              <w:bottom w:val="single" w:color="B91C1C" w:sz="1"/>
              <w:right w:val="single" w:color="B91C1C" w:sz="1"/>
            </w:tcBorders>
            <w:shd w:fill="B91C1C"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Specific Requirement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2026 FCRA</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Monthly Reject/Error rate reporting to NCRAs — this control provides the underlying data for that report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GENIUS Act §7(b)</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Digital origination liveness verification must use post-July 2025 fraud typologies — current model non-compliant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BSA/AML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Synthetic identity cases with SAR-filing threshold must be reported to FinCEN within 30 days of identification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OCC Consumer Protection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Post-decision review programme satisfies OCC requirement for independent verification of automated credit decisions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RB-CTRL-02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2026-05-12T07:49:03.616Z</dcterms:created>
  <dcterms:modified xsi:type="dcterms:W3CDTF">2026-05-12T07:49:03.616Z</dcterms:modified>
</cp:coreProperties>
</file>

<file path=docProps/custom.xml><?xml version="1.0" encoding="utf-8"?>
<Properties xmlns="http://schemas.openxmlformats.org/officeDocument/2006/custom-properties" xmlns:vt="http://schemas.openxmlformats.org/officeDocument/2006/docPropsVTypes"/>
</file>