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0F2240" w:sz="24"/>
              <w:bottom w:val="single" w:color="B45309" w:sz="12"/>
              <w:right w:val="single" w:color="B45309"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 — CALL NARRATIVE</w:t>
            </w:r>
          </w:p>
          <w:p>
            <w:pPr>
              <w:spacing w:after="120"/>
            </w:pPr>
            <w:r>
              <w:rPr>
                <w:rFonts w:ascii="Calibri" w:cs="Calibri" w:eastAsia="Calibri" w:hAnsi="Calibri"/>
                <w:b/>
                <w:bCs/>
                <w:color w:val="FFFFFF"/>
                <w:sz w:val="38"/>
                <w:szCs w:val="38"/>
              </w:rPr>
              <w:t xml:space="preserve">Post-Decision QA — Human-in-the-Loop (HITL)</w:t>
            </w:r>
          </w:p>
          <w:p>
            <w:pPr>
              <w:spacing w:after="120"/>
            </w:pPr>
            <w:r>
              <w:rPr>
                <w:rFonts w:ascii="Calibri" w:cs="Calibri" w:eastAsia="Calibri" w:hAnsi="Calibri"/>
                <w:color w:val="94BAF7"/>
                <w:sz w:val="22"/>
                <w:szCs w:val="22"/>
              </w:rPr>
              <w:t xml:space="preserve">Retail Banking Division  |  RB-CTRL-02</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RB-CTRL-02</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Post-Decision QA — Human-in-the-Loop (HITL)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Division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 — Call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 AI Agent (GPT-4o) | Chief Compliance Officer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30-Apr-2026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Confidential — Internal Use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Owner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 Williams, Chief Compliance Officer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 AI Agent — Copilot Studio (GPT-4o)</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Session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30-Apr-2026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Session Time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14:30–15:10 EST (40 minutes)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Purpose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Monthly RCSA control assessment — Post-Decision QA HITL (RB-CTRL-02)</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Context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 monthly cycle — NCRA reporting deadline May 5th</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Interview Transcript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Section A — Monthly Testing Results</w:t>
            </w:r>
          </w:p>
        </w:tc>
      </w:tr>
    </w:tbl>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Ms Williams, the April 2026 Post-Decision QA cycle was completed yesterday. The pre-loaded MetricStream data shows 3 synthetic ID exceptions were identified. Can you walk me through the findings and what happened in each case?</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C. Williams: </w:t>
      </w:r>
      <w:r>
        <w:rPr>
          <w:rFonts w:ascii="Calibri" w:cs="Calibri" w:eastAsia="Calibri" w:hAnsi="Calibri"/>
          <w:sz w:val="20"/>
          <w:szCs w:val="20"/>
        </w:rPr>
        <w:t xml:space="preserve">Yes — and these three cases are concerning. In all three, the AI liveness model flagged an anomaly but below the 85% confidence threshold, meaning they went to human review. The analyst cleared all three. On subsequent re-review, all three showed characteristics of post-GENIUS Act synthetic identity patterns — AI-generated income documentation specifically. The analyst hadn't been trained on those new typologies.</w:t>
      </w:r>
    </w:p>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The GENIUS Act came into force July 2025. The liveness model was last retrained Q3 2025 — which would be approximately the same time. Can you confirm whether the Q3 2025 retraining incorporated the GENIUS Act's updated digital origination fraud typologies?</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C. Williams: </w:t>
      </w:r>
      <w:r>
        <w:rPr>
          <w:rFonts w:ascii="Calibri" w:cs="Calibri" w:eastAsia="Calibri" w:hAnsi="Calibri"/>
          <w:sz w:val="20"/>
          <w:szCs w:val="20"/>
        </w:rPr>
        <w:t xml:space="preserve">It did not. The retraining was already underway when the Act was finalised. We incorporated some early guidance but the full typology library wasn't available until October 2025. We should have triggered a model update then. That's the gap — and it's a P1 action.</w:t>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Section B — NCRA Reporting &amp; FCRA Compliance</w:t>
            </w:r>
          </w:p>
        </w:tc>
      </w:tr>
    </w:tbl>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On NCRA reporting — the 2026 FCRA requires monthly reject and error rate submission to Equifax, Experian, and TransUnion by the 5th business day of the following month. Is May's report at risk given these three exceptions?</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C. Williams: </w:t>
      </w:r>
      <w:r>
        <w:rPr>
          <w:rFonts w:ascii="Calibri" w:cs="Calibri" w:eastAsia="Calibri" w:hAnsi="Calibri"/>
          <w:sz w:val="20"/>
          <w:szCs w:val="20"/>
        </w:rPr>
        <w:t xml:space="preserve">The report itself isn't at risk — the three cases were identified before disbursement, so they'll be correctly classified as rejections post-QA. What concerns me is the accuracy of prior months' reports if there were other synthetic ID cases we missed that did proceed to disbursement. We're running a retrospective review of Q1 2026 disbursements this week.</w:t>
      </w:r>
    </w:p>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That's a significant additional finding. I'll flag the retrospective review as an open item in the RCSA. If disbursements proceeded on undetected synthetic IDs in Q1 2026, that's a potential FCRA data accuracy breach that may require voluntary disclosure to the OCC. Are you aligned with Legal on this?</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C. Williams: </w:t>
      </w:r>
      <w:r>
        <w:rPr>
          <w:rFonts w:ascii="Calibri" w:cs="Calibri" w:eastAsia="Calibri" w:hAnsi="Calibri"/>
          <w:sz w:val="20"/>
          <w:szCs w:val="20"/>
        </w:rPr>
        <w:t xml:space="preserve">Legal is aware. We're treating this as a precautionary review at this stage. No confirmed cases yet. We'll have preliminary results by May 15th.</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AI Agent Summary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Assessment: WEAK
The April 2026 cycle identified 3 synthetic ID misses attributable to: (1) liveness model trained pre-GENIUS Act typologies, (2) human reviewer not trained on post-GENIUS Act AI-generated document patterns. A retrospective Q1 2026 disbursement review is underway — potential FCRA data accuracy breach if undetected synthetic IDs proceeded to disbursement. Two P1 actions: ACT-001 (model retraining — 30 days) and new action for Q1 retrospective review (15 days). OCC pre-disclosure consideration flagged for Legal review.</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RB-CTRL-02  </w:t>
          </w:r>
          <w:r>
            <w:rPr>
              <w:rFonts w:ascii="Calibri" w:cs="Calibri" w:eastAsia="Calibri" w:hAnsi="Calibri"/>
              <w:color w:val="64748B"/>
              <w:sz w:val="18"/>
              <w:szCs w:val="18"/>
            </w:rPr>
            <w:t xml:space="preserve">| Control Owner Interview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2026-05-12T07:49:03.750Z</dcterms:created>
  <dcterms:modified xsi:type="dcterms:W3CDTF">2026-05-12T07:49:03.750Z</dcterms:modified>
</cp:coreProperties>
</file>

<file path=docProps/custom.xml><?xml version="1.0" encoding="utf-8"?>
<Properties xmlns="http://schemas.openxmlformats.org/officeDocument/2006/custom-properties" xmlns:vt="http://schemas.openxmlformats.org/officeDocument/2006/docPropsVTypes"/>
</file>