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12"/>
              <w:left w:val="single" w:color="0F2240" w:sz="24"/>
              <w:bottom w:val="single" w:color="0B7A75" w:sz="12"/>
              <w:right w:val="single" w:color="0B7A75"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OWNER INTERVIEW</w:t>
            </w:r>
          </w:p>
          <w:p>
            <w:pPr>
              <w:spacing w:after="120"/>
            </w:pPr>
            <w:r>
              <w:rPr>
                <w:rFonts w:ascii="Calibri" w:cs="Calibri" w:eastAsia="Calibri" w:hAnsi="Calibri"/>
                <w:b/>
                <w:bCs/>
                <w:color w:val="FFFFFF"/>
                <w:sz w:val="38"/>
                <w:szCs w:val="38"/>
              </w:rPr>
              <w:t xml:space="preserve">Mortgage Affordability Stress Testing</w:t>
            </w:r>
          </w:p>
          <w:p>
            <w:pPr>
              <w:spacing w:after="120"/>
            </w:pPr>
            <w:r>
              <w:rPr>
                <w:rFonts w:ascii="Calibri" w:cs="Calibri" w:eastAsia="Calibri" w:hAnsi="Calibri"/>
                <w:color w:val="94BAF7"/>
                <w:sz w:val="22"/>
                <w:szCs w:val="22"/>
              </w:rPr>
              <w:t xml:space="preserve">Retail Banking — Mortgages  |  RB-CTRL-05</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RB-CTRL-05</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Mortgage Affordability Stress Testing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Retail Banking — Mortgages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Owner Interview</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P. Khan, Head of Mortgage Credit Risk</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RCSA-2026-RB-Q2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Call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11, 2026 · 14:00–14:45 BST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Format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Microsoft Teams — recorded with consent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 Chen, Senior Risk Analyst (2nd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P. Khan, Head of Mortgage Credit Risk (1st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Observer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D. Olusegun, Compliance Manager — Retail</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RB-CTRL-05</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Opening — Control Context</w:t>
            </w:r>
          </w:p>
        </w:tc>
      </w:tr>
    </w:tbl>
    <w:p>
      <w:pPr>
        <w:spacing w:after="120"/>
      </w:pPr>
      <w:r>
        <w:rPr>
          <w:rFonts w:ascii="Calibri" w:cs="Calibri" w:eastAsia="Calibri" w:hAnsi="Calibri"/>
          <w:sz w:val="21"/>
          <w:szCs w:val="21"/>
        </w:rPr>
        <w:t xml:space="preserve">S. Chen opened by confirming the scope: the Affordability Stress Testing control as documented in the Q2 2026 RCSA refresh. P. Khan confirmed she has been control owner for 14 months and is supported by a team of 3 policy analysts.</w:t>
      </w:r>
    </w:p>
    <w:p>
      <w:pPr>
        <w:spacing w:after="80"/>
      </w:pPr>
      <w:r>
        <w:rPr>
          <w:rFonts w:ascii="Calibri" w:cs="Calibri" w:eastAsia="Calibri" w:hAnsi="Calibri"/>
        </w:rPr>
        <w:t xml:space="preserve"/>
      </w:r>
    </w:p>
    <w:p>
      <w:pPr>
        <w:spacing w:after="120"/>
      </w:pPr>
      <w:r>
        <w:rPr>
          <w:rFonts w:ascii="Calibri" w:cs="Calibri" w:eastAsia="Calibri" w:hAnsi="Calibri"/>
          <w:b/>
          <w:bCs/>
          <w:color w:val="0B7A75"/>
          <w:sz w:val="21"/>
          <w:szCs w:val="21"/>
        </w:rPr>
        <w:t xml:space="preserve">P. Khan said: </w:t>
      </w:r>
      <w:r>
        <w:rPr>
          <w:rFonts w:ascii="Calibri" w:cs="Calibri" w:eastAsia="Calibri" w:hAnsi="Calibri"/>
          <w:sz w:val="21"/>
          <w:szCs w:val="21"/>
        </w:rPr>
        <w:t xml:space="preserve">"This is one of the controls I sleep best about. The system gate makes it almost impossible for an unaffordable mortgage to get through on auto-approval. Where we have more nuance is in the manual override population — that's where judgement enters and that's where I focus most of my second-level review."</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Discussion — Key Topics</w:t>
            </w:r>
          </w:p>
        </w:tc>
      </w:tr>
    </w:tbl>
    <w:p>
      <w:pPr>
        <w:spacing w:after="120"/>
      </w:pPr>
      <w:r>
        <w:rPr>
          <w:rFonts w:ascii="Calibri" w:cs="Calibri" w:eastAsia="Calibri" w:hAnsi="Calibri"/>
          <w:b/>
          <w:bCs/>
          <w:color w:val="0F2240"/>
          <w:sz w:val="21"/>
          <w:szCs w:val="21"/>
        </w:rPr>
        <w:t xml:space="preserve">1. Parameter Currency</w:t>
      </w:r>
    </w:p>
    <w:p>
      <w:pPr>
        <w:spacing w:after="120"/>
      </w:pPr>
      <w:r>
        <w:rPr>
          <w:rFonts w:ascii="Calibri" w:cs="Calibri" w:eastAsia="Calibri" w:hAnsi="Calibri"/>
          <w:sz w:val="21"/>
          <w:szCs w:val="21"/>
        </w:rPr>
        <w:t xml:space="preserve">Asked how parameters are kept current. P. Khan confirmed SVR feeds from Treasury are automated daily but the stress margin, expenditure basket, and pass threshold are reviewed quarterly by the Retail Credit Risk Committee. Last review was March 12, 2026 (33 days ago) — within the 100-day amber threshold.</w:t>
      </w:r>
    </w:p>
    <w:p>
      <w:pPr>
        <w:spacing w:after="8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2. The Q1 2026 ONS Basket Update</w:t>
      </w:r>
    </w:p>
    <w:p>
      <w:pPr>
        <w:spacing w:after="120"/>
      </w:pPr>
      <w:r>
        <w:rPr>
          <w:rFonts w:ascii="Calibri" w:cs="Calibri" w:eastAsia="Calibri" w:hAnsi="Calibri"/>
          <w:sz w:val="21"/>
          <w:szCs w:val="21"/>
        </w:rPr>
        <w:t xml:space="preserve">P. Khan raised proactively that the ONS Family Resources Survey published an updated household expenditure basket in February 2026 reflecting elevated grocery and energy costs. The Mortgage Credit Policy team incorporated the update in the March RCRC, increasing essential expenditure assumptions by 6.4% on average. This made affordability tougher — approval rates dropped from 72% to 68% post-change.</w:t>
      </w:r>
    </w:p>
    <w:p>
      <w:pPr>
        <w:spacing w:after="80"/>
      </w:pPr>
      <w:r>
        <w:rPr>
          <w:rFonts w:ascii="Calibri" w:cs="Calibri" w:eastAsia="Calibri" w:hAnsi="Calibri"/>
        </w:rPr>
        <w:t xml:space="preserve"/>
      </w:r>
    </w:p>
    <w:p>
      <w:pPr>
        <w:spacing w:after="120"/>
      </w:pPr>
      <w:r>
        <w:rPr>
          <w:rFonts w:ascii="Calibri" w:cs="Calibri" w:eastAsia="Calibri" w:hAnsi="Calibri"/>
          <w:b/>
          <w:bCs/>
          <w:color w:val="0B7A75"/>
          <w:sz w:val="21"/>
          <w:szCs w:val="21"/>
        </w:rPr>
        <w:t xml:space="preserve">S. Chen asked: </w:t>
      </w:r>
      <w:r>
        <w:rPr>
          <w:rFonts w:ascii="Calibri" w:cs="Calibri" w:eastAsia="Calibri" w:hAnsi="Calibri"/>
          <w:sz w:val="21"/>
          <w:szCs w:val="21"/>
        </w:rPr>
        <w:t xml:space="preserve">"Was there any pressure to soften the update given the approval rate drop?"</w:t>
      </w:r>
    </w:p>
    <w:p>
      <w:pPr>
        <w:spacing w:after="120"/>
      </w:pPr>
      <w:r>
        <w:rPr>
          <w:rFonts w:ascii="Calibri" w:cs="Calibri" w:eastAsia="Calibri" w:hAnsi="Calibri"/>
          <w:b/>
          <w:bCs/>
          <w:color w:val="0B7A75"/>
          <w:sz w:val="21"/>
          <w:szCs w:val="21"/>
        </w:rPr>
        <w:t xml:space="preserve">P. Khan responded: </w:t>
      </w:r>
      <w:r>
        <w:rPr>
          <w:rFonts w:ascii="Calibri" w:cs="Calibri" w:eastAsia="Calibri" w:hAnsi="Calibri"/>
          <w:sz w:val="21"/>
          <w:szCs w:val="21"/>
        </w:rPr>
        <w:t xml:space="preserve">"There was discussion at RCRC. Mortgages Distribution wanted us to phase the change in over two quarters. I pushed back hard — the ONS data is what it is and we either accept it or we're not really doing affordability. RCRC backed the policy team. It's in the minutes."</w:t>
      </w:r>
    </w:p>
    <w:p>
      <w:pPr>
        <w:spacing w:after="14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3. Manual Override Population</w:t>
      </w:r>
    </w:p>
    <w:p>
      <w:pPr>
        <w:spacing w:after="120"/>
      </w:pPr>
      <w:r>
        <w:rPr>
          <w:rFonts w:ascii="Calibri" w:cs="Calibri" w:eastAsia="Calibri" w:hAnsi="Calibri"/>
          <w:sz w:val="21"/>
          <w:szCs w:val="21"/>
        </w:rPr>
        <w:t xml:space="preserve">In Q1 2026, 4.1% of applications received a manual override (above 3% amber threshold, below 5% red). P. Khan attributed this to the ONS basket change — many borderline applications previously auto-passed are now being routed for manual review. She believes the population will normalise as customer affordability adjusts to the higher essential expenditure assumptions, but she has commissioned a thematic review by Internal Audit (planned Q3 2026) to test whether overrides are justified.</w:t>
      </w:r>
    </w:p>
    <w:p>
      <w:pPr>
        <w:spacing w:after="14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4. Manual Underwriting Capacity</w:t>
      </w:r>
    </w:p>
    <w:p>
      <w:pPr>
        <w:spacing w:after="120"/>
      </w:pPr>
      <w:r>
        <w:rPr>
          <w:rFonts w:ascii="Calibri" w:cs="Calibri" w:eastAsia="Calibri" w:hAnsi="Calibri"/>
          <w:sz w:val="21"/>
          <w:szCs w:val="21"/>
        </w:rPr>
        <w:t xml:space="preserve">Increased manual referral has pressured the underwriting team. Currently 28 FTEs, business case in flight for +5 FTE. SLA for credit decision has slipped from 3 days to 5.5 days. P. Khan flagged customer experience risk but stressed the affordability control itself remains effective — the throughput question is a downstream issue, not a control weakness.</w:t>
      </w:r>
    </w:p>
    <w:p>
      <w:pPr>
        <w:spacing w:after="14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5. Long-Term Fixed Rate Stress</w:t>
      </w:r>
    </w:p>
    <w:p>
      <w:pPr>
        <w:spacing w:after="120"/>
      </w:pPr>
      <w:r>
        <w:rPr>
          <w:rFonts w:ascii="Calibri" w:cs="Calibri" w:eastAsia="Calibri" w:hAnsi="Calibri"/>
          <w:sz w:val="21"/>
          <w:szCs w:val="21"/>
        </w:rPr>
        <w:t xml:space="preserve">The bank now offers 10-year fixed-rate mortgages (launched October 2025). For these products, the long-fix stress test applies for years 6–10 at SVR + 1%. P. Khan confirmed this is operating correctly and approval rates on 10-year fixes are tracking below 5-year fixes by design.</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Control Owner Self-Assessment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4060"/>
        <w:gridCol w:w="2100"/>
      </w:tblGrid>
      <w:tr>
        <w:tc>
          <w:tcPr>
            <w:tcW w:type="dxa" w:w="17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Dimension</w:t>
            </w:r>
          </w:p>
        </w:tc>
        <w:tc>
          <w:tcPr>
            <w:tcW w:type="dxa" w:w="15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Owner Rating</w:t>
            </w:r>
          </w:p>
        </w:tc>
        <w:tc>
          <w:tcPr>
            <w:tcW w:type="dxa" w:w="406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Rationale</w:t>
            </w:r>
          </w:p>
        </w:tc>
        <w:tc>
          <w:tcPr>
            <w:tcW w:type="dxa" w:w="21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Notes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Design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Engine logic sound; FPC stress in place</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Operating Effectiveness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4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Functioning, but elevated manual overrides bear watching</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Internal Audit review planned Q3</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Documentation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Specs current; one waiver document overdue for refresh</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ACT-053 raised</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Capacity to Scale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4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Manual UW resource at limits; +5 FTE business case pending</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Watch item</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Overall Self-Assessment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Control effective; capacity is a downstream concern, not a control weakness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Action Items from Interview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Action</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Owner / Due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ACT-053: Refresh waiver document MTG-WV-018 (overdue from Jan 2026)</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 Khan / May 15, 2026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ACT-054: Provide manual override rationale sample (50 cases) to 2nd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 Khan / May 30, 2026</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ACT-055: Internal Audit thematic on overrides — confirm scoping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S. Chen liaise with IA / Jul 2026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ACT-056: Track approval rate vs ONS basket adoption — monthly report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 Khan / ongoing</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8"/>
              <w:left w:val="single" w:color="0B7A75" w:sz="8"/>
              <w:bottom w:val="single" w:color="0B7A75" w:sz="8"/>
              <w:right w:val="single" w:color="0B7A75" w:sz="8"/>
            </w:tcBorders>
            <w:shd w:fill="E0F5F4"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Interview concluded at 14:42 BST. Control owner cooperative, well-prepared, demonstrated deep technical understanding of the control. Overall residual risk rating recommended: Adequate, with capacity as a watch item. No P1 actions raised.</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RB-CTRL-05 · Mortgage Affordability Stress Testing  </w:t>
          </w:r>
          <w:r>
            <w:rPr>
              <w:rFonts w:ascii="Calibri" w:cs="Calibri" w:eastAsia="Calibri" w:hAnsi="Calibri"/>
              <w:color w:val="64748B"/>
              <w:sz w:val="18"/>
              <w:szCs w:val="18"/>
            </w:rPr>
            <w:t xml:space="preserve">| Control Owner Interview</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Retail Bank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2026-05-21T12:15:10.155Z</dcterms:created>
  <dcterms:modified xsi:type="dcterms:W3CDTF">2026-05-21T12:15:10.155Z</dcterms:modified>
</cp:coreProperties>
</file>

<file path=docProps/custom.xml><?xml version="1.0" encoding="utf-8"?>
<Properties xmlns="http://schemas.openxmlformats.org/officeDocument/2006/custom-properties" xmlns:vt="http://schemas.openxmlformats.org/officeDocument/2006/docPropsVTypes"/>
</file>