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0F2240" w:sz="24"/>
              <w:bottom w:val="single" w:color="B91C1C" w:sz="12"/>
              <w:right w:val="single" w:color="B91C1C"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8"/>
                <w:szCs w:val="38"/>
              </w:rPr>
              <w:t xml:space="preserve">Overdraft &amp; Unauthorised Lending Monitoring</w:t>
            </w:r>
          </w:p>
          <w:p>
            <w:pPr>
              <w:spacing w:after="120"/>
            </w:pPr>
            <w:r>
              <w:rPr>
                <w:rFonts w:ascii="Calibri" w:cs="Calibri" w:eastAsia="Calibri" w:hAnsi="Calibri"/>
                <w:color w:val="94BAF7"/>
                <w:sz w:val="22"/>
                <w:szCs w:val="22"/>
              </w:rPr>
              <w:t xml:space="preserve">Retail Banking — Current Accounts  |  RB-CTRL-06</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Overdraft &amp; Unauthorised Lending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Current Accounts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 Thompson, Head of Current Accounts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Weak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Detect and prevent unauthorised overdraft positions on customer current accounts, and ensure all overdraft facilities (arranged and unarranged) are managed in line with FCA CONC 5C requirements on persistent debt and unfair treatment of customers.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FCA CONC 5C — Treatment of persistent debt on credit cards (analogous principles applied to overdrafts)</w:t>
      </w:r>
    </w:p>
    <w:p>
      <w:pPr>
        <w:pStyle w:val="ListParagraph"/>
        <w:numPr>
          <w:ilvl w:val="0"/>
          <w:numId w:val="2"/>
        </w:numPr>
        <w:spacing w:after="80"/>
      </w:pPr>
      <w:r>
        <w:rPr>
          <w:rFonts w:ascii="Calibri" w:cs="Calibri" w:eastAsia="Calibri" w:hAnsi="Calibri"/>
          <w:color w:val="1E293B"/>
          <w:sz w:val="21"/>
          <w:szCs w:val="21"/>
        </w:rPr>
        <w:t xml:space="preserve">FCA PS19/16 — Overdraft pricing remedy and repeat use reforms</w:t>
      </w:r>
    </w:p>
    <w:p>
      <w:pPr>
        <w:pStyle w:val="ListParagraph"/>
        <w:numPr>
          <w:ilvl w:val="0"/>
          <w:numId w:val="2"/>
        </w:numPr>
        <w:spacing w:after="80"/>
      </w:pPr>
      <w:r>
        <w:rPr>
          <w:rFonts w:ascii="Calibri" w:cs="Calibri" w:eastAsia="Calibri" w:hAnsi="Calibri"/>
          <w:color w:val="1E293B"/>
          <w:sz w:val="21"/>
          <w:szCs w:val="21"/>
        </w:rPr>
        <w:t xml:space="preserve">FCA Consumer Duty (PRIN 2A) — Avoiding foreseeable harm, especially to vulnerable customers</w:t>
      </w:r>
    </w:p>
    <w:p>
      <w:pPr>
        <w:pStyle w:val="ListParagraph"/>
        <w:numPr>
          <w:ilvl w:val="0"/>
          <w:numId w:val="2"/>
        </w:numPr>
        <w:spacing w:after="80"/>
      </w:pPr>
      <w:r>
        <w:rPr>
          <w:rFonts w:ascii="Calibri" w:cs="Calibri" w:eastAsia="Calibri" w:hAnsi="Calibri"/>
          <w:color w:val="1E293B"/>
          <w:sz w:val="21"/>
          <w:szCs w:val="21"/>
        </w:rPr>
        <w:t xml:space="preserve">PRA SS1/17 — Lending practices for small businesses (where applicable to business current accounts)</w:t>
      </w:r>
    </w:p>
    <w:p>
      <w:pPr>
        <w:pStyle w:val="ListParagraph"/>
        <w:numPr>
          <w:ilvl w:val="0"/>
          <w:numId w:val="2"/>
        </w:numPr>
        <w:spacing w:after="80"/>
      </w:pPr>
      <w:r>
        <w:rPr>
          <w:rFonts w:ascii="Calibri" w:cs="Calibri" w:eastAsia="Calibri" w:hAnsi="Calibri"/>
          <w:color w:val="1E293B"/>
          <w:sz w:val="21"/>
          <w:szCs w:val="21"/>
        </w:rPr>
        <w:t xml:space="preserve">Senior Managers and Certification Regime (SMCR) — Head of CA accountability under SMF22</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The bank operates a daily overdraft monitoring batch that runs at 04:00 BST identifying every current account where: (a) the balance is below zero without an arranged overdraft, (b) the balance breaches the arranged limit, or (c) the account has been continuously overdrawn for more than 35 days. Identified accounts are routed through a tiered intervention workflow — system-generated communication for tier 1, manual review by Customer Operations for tier 2, escalation to Collections for tier 3.</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Tier 1 (1-7 days unauthorised) — automated email/SMS warning, no action</w:t>
      </w:r>
    </w:p>
    <w:p>
      <w:pPr>
        <w:pStyle w:val="ListParagraph"/>
        <w:numPr>
          <w:ilvl w:val="0"/>
          <w:numId w:val="2"/>
        </w:numPr>
        <w:spacing w:after="80"/>
      </w:pPr>
      <w:r>
        <w:rPr>
          <w:rFonts w:ascii="Calibri" w:cs="Calibri" w:eastAsia="Calibri" w:hAnsi="Calibri"/>
          <w:color w:val="1E293B"/>
          <w:sz w:val="21"/>
          <w:szCs w:val="21"/>
        </w:rPr>
        <w:t xml:space="preserve">Tier 2 (8-35 days unauthorised) — Customer Operations agent outreach within 5 working days</w:t>
      </w:r>
    </w:p>
    <w:p>
      <w:pPr>
        <w:pStyle w:val="ListParagraph"/>
        <w:numPr>
          <w:ilvl w:val="0"/>
          <w:numId w:val="2"/>
        </w:numPr>
        <w:spacing w:after="80"/>
      </w:pPr>
      <w:r>
        <w:rPr>
          <w:rFonts w:ascii="Calibri" w:cs="Calibri" w:eastAsia="Calibri" w:hAnsi="Calibri"/>
          <w:color w:val="1E293B"/>
          <w:sz w:val="21"/>
          <w:szCs w:val="21"/>
        </w:rPr>
        <w:t xml:space="preserve">Tier 3 (35+ days continuous) — referral to Collections, account review, potential charge-back of unauthorised fees</w:t>
      </w:r>
    </w:p>
    <w:p>
      <w:pPr>
        <w:pStyle w:val="ListParagraph"/>
        <w:numPr>
          <w:ilvl w:val="0"/>
          <w:numId w:val="2"/>
        </w:numPr>
        <w:spacing w:after="80"/>
      </w:pPr>
      <w:r>
        <w:rPr>
          <w:rFonts w:ascii="Calibri" w:cs="Calibri" w:eastAsia="Calibri" w:hAnsi="Calibri"/>
          <w:color w:val="1E293B"/>
          <w:sz w:val="21"/>
          <w:szCs w:val="21"/>
        </w:rPr>
        <w:t xml:space="preserve">Persistent debt (per CONC 5C principles) — annual review, intervention letter, repayment plan offered</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Weakness flag: The Tier 2 outreach SLA has been slipping since November 2025 due to resource constraints in Customer Operations. Current performance: 62% within 5 working days against 90% target. This is the primary control weakness for Q1 2026.</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Unauthorised overdraft balance &gt;£500 — open &gt;35 days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&gt;2,000 accounts | Red: &gt;3,000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Tier 2 SLA compliance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&lt;80% | Red: &lt;70%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Customer complaints citing overdraft fees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&gt;50/month | Red: &gt;100/month</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Persistent debt customer cases &gt;30 months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&gt;300 | Red: &gt;500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Charge-off rate on overdraft balances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&gt;3.5% | Red: &gt;5%</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Daily batch with real-time monitoring of high-value accounts (&gt;£10K negative). Coverage: 100% of personal current accounts (3.8M accounts). Business current accounts run on parallel control RB-CTRL-06B.</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Customer Operations Manager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Manage Tier 2 outreach team, SLA performance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Collections Lead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Tier 3 management, persistent debt intervention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Current Accounts Policy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Threshold and parameter maintenance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Conduct Risk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Vulnerable customer escalation, complaints oversight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Triennial review (last completed Oct 2024)</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This control is currently rated Weak due to sustained Tier 2 SLA non-compliance and elevated customer complaints. Tier 1 automation works well; the breakdown is in human-touch intervention capacity. P1 action ACT-061 raised to restore SLA by Q3 2026 via +12 FTE in Customer Operations and process automation for low-complexity cases.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RB-CTRL-06 · Overdraft &amp; Unauthorised Lending Monitoring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2026-05-21T12:22:19.167Z</dcterms:created>
  <dcterms:modified xsi:type="dcterms:W3CDTF">2026-05-21T12:22:19.183Z</dcterms:modified>
</cp:coreProperties>
</file>

<file path=docProps/custom.xml><?xml version="1.0" encoding="utf-8"?>
<Properties xmlns="http://schemas.openxmlformats.org/officeDocument/2006/custom-properties" xmlns:vt="http://schemas.openxmlformats.org/officeDocument/2006/docPropsVTypes"/>
</file>