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12"/>
              <w:left w:val="single" w:color="0F2240" w:sz="24"/>
              <w:bottom w:val="single" w:color="0B7A75" w:sz="12"/>
              <w:right w:val="single" w:color="0B7A75"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OWNER INTERVIEW</w:t>
            </w:r>
          </w:p>
          <w:p>
            <w:pPr>
              <w:spacing w:after="120"/>
            </w:pPr>
            <w:r>
              <w:rPr>
                <w:rFonts w:ascii="Calibri" w:cs="Calibri" w:eastAsia="Calibri" w:hAnsi="Calibri"/>
                <w:b/>
                <w:bCs/>
                <w:color w:val="FFFFFF"/>
                <w:sz w:val="38"/>
                <w:szCs w:val="38"/>
              </w:rPr>
              <w:t xml:space="preserve">Overdraft &amp; Unauthorised Lending Monitoring</w:t>
            </w:r>
          </w:p>
          <w:p>
            <w:pPr>
              <w:spacing w:after="120"/>
            </w:pPr>
            <w:r>
              <w:rPr>
                <w:rFonts w:ascii="Calibri" w:cs="Calibri" w:eastAsia="Calibri" w:hAnsi="Calibri"/>
                <w:color w:val="94BAF7"/>
                <w:sz w:val="22"/>
                <w:szCs w:val="22"/>
              </w:rPr>
              <w:t xml:space="preserve">Retail Banking — Current Accounts  |  RB-CTRL-06</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RB-CTRL-06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Overdraft &amp; Unauthorised Lending Monitoring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Retail Banking — Current Accounts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Owner Interview</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L. Thompson, Head of Current Accounts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15,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Weak</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RCSA-2026-RB-Q2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Call Details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9, 2026 · per RCSA-2026-Q2 schedule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Format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Microsoft Teams — recorded with consent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S. Chen, Senior Risk Analyst (2nd Line)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L. Thompson, Head of Current Accounts (1st Line)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RB-CTRL-06</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Opening — Control Context</w:t>
            </w:r>
          </w:p>
        </w:tc>
      </w:tr>
    </w:tbl>
    <w:p>
      <w:pPr>
        <w:spacing w:after="120"/>
      </w:pPr>
      <w:r>
        <w:rPr>
          <w:rFonts w:ascii="Calibri" w:cs="Calibri" w:eastAsia="Calibri" w:hAnsi="Calibri"/>
          <w:sz w:val="21"/>
          <w:szCs w:val="21"/>
        </w:rPr>
        <w:t xml:space="preserve">S. Chen opened by confirming the scope of the Overdraft &amp; Unauthorised Lending Monitoring control as documented in the Q2 2026 RCSA refresh. L. Thompson, Head of Current Accounts confirmed they have been control owner and is supported by their team.</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Discussion — Key Topics</w:t>
            </w:r>
          </w:p>
        </w:tc>
      </w:tr>
    </w:tbl>
    <w:p>
      <w:pPr>
        <w:spacing w:after="120"/>
      </w:pPr>
      <w:r>
        <w:rPr>
          <w:rFonts w:ascii="Calibri" w:cs="Calibri" w:eastAsia="Calibri" w:hAnsi="Calibri"/>
          <w:b/>
          <w:bCs/>
          <w:color w:val="0F2240"/>
          <w:sz w:val="21"/>
          <w:szCs w:val="21"/>
        </w:rPr>
        <w:t xml:space="preserve">1. SLA Slippage Root Cause</w:t>
      </w:r>
    </w:p>
    <w:p>
      <w:pPr>
        <w:spacing w:after="120"/>
      </w:pPr>
      <w:r>
        <w:rPr>
          <w:rFonts w:ascii="Calibri" w:cs="Calibri" w:eastAsia="Calibri" w:hAnsi="Calibri"/>
          <w:sz w:val="21"/>
          <w:szCs w:val="21"/>
        </w:rPr>
        <w:t xml:space="preserve">Asked about the Tier 2 outreach SLA dropping from 88% in October to 62% in March. L. Thompson attributed to: (a) 18% increase in Tier 2 case volume since the autumn cost-of-living pressures, (b) attrition in Customer Operations team — 8 FTE lost between Nov 2025 and Feb 2026 — replacement hires onboarding through April/May, (c) backlog created during December seasonal pressure that has not fully cleared.</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2. Vulnerable Customer Identification</w:t>
      </w:r>
    </w:p>
    <w:p>
      <w:pPr>
        <w:spacing w:after="120"/>
      </w:pPr>
      <w:r>
        <w:rPr>
          <w:rFonts w:ascii="Calibri" w:cs="Calibri" w:eastAsia="Calibri" w:hAnsi="Calibri"/>
          <w:sz w:val="21"/>
          <w:szCs w:val="21"/>
        </w:rPr>
        <w:t xml:space="preserve">L. Thompson confirmed all Tier 2 cases are screened against the Vulnerable Customer Register at routing. Cases flagged are prioritised. However, register is dependent on customer self-disclosure plus inferential markers from complaint data — likely under-identifies true vulnerable population. Cross-reference to RB-CTRL-09 noted.</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3. FCA Consumer Duty Implications</w:t>
      </w:r>
    </w:p>
    <w:p>
      <w:pPr>
        <w:spacing w:after="120"/>
      </w:pPr>
      <w:r>
        <w:rPr>
          <w:rFonts w:ascii="Calibri" w:cs="Calibri" w:eastAsia="Calibri" w:hAnsi="Calibri"/>
          <w:sz w:val="21"/>
          <w:szCs w:val="21"/>
        </w:rPr>
        <w:t xml:space="preserve">Asked whether the SLA slippage creates a Consumer Duty foreseeable harm concern. L. Thompson said yes — extending the period customers remain in unauthorised overdraft increases fees they pay and could be argued as failing the 'avoiding foreseeable harm' standard. Bank has voluntarily waived fees on accounts exceeding 14 days in Tier 2 since January 2026 to mitigate; estimated revenue cost £1.2M to date.</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4. Persistent Debt Programme</w:t>
      </w:r>
    </w:p>
    <w:p>
      <w:pPr>
        <w:spacing w:after="120"/>
      </w:pPr>
      <w:r>
        <w:rPr>
          <w:rFonts w:ascii="Calibri" w:cs="Calibri" w:eastAsia="Calibri" w:hAnsi="Calibri"/>
          <w:sz w:val="21"/>
          <w:szCs w:val="21"/>
        </w:rPr>
        <w:t xml:space="preserve">Programme operating effectively — 487 customers exited persistent debt status in Q1 2026 via repayment plans (average outstanding balance £840). However the volume entering persistent debt continues to outpace exits at ~1.3x ratio. L. Thompson considers this a market-driven trend tied to cost of living, not a control failure.</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5. Resource Recovery Plan</w:t>
      </w:r>
    </w:p>
    <w:p>
      <w:pPr>
        <w:spacing w:after="120"/>
      </w:pPr>
      <w:r>
        <w:rPr>
          <w:rFonts w:ascii="Calibri" w:cs="Calibri" w:eastAsia="Calibri" w:hAnsi="Calibri"/>
          <w:sz w:val="21"/>
          <w:szCs w:val="21"/>
        </w:rPr>
        <w:t xml:space="preserve">Customer Operations team approved for +12 FTE in February 2026, currently 7 hires in onboarding (2-3 month ramp). Pega workflow upgrade for low-complexity case automation in test, target go-live June 2026 — expected to reduce manual touch by 25%. L. Thompson committed to monthly SLA reporting to Risk Committee until restored to &gt;90%.</w:t>
      </w:r>
    </w:p>
    <w:p>
      <w:pPr>
        <w:spacing w:after="100"/>
      </w:pPr>
      <w:r>
        <w:rPr>
          <w:rFonts w:ascii="Calibri" w:cs="Calibri" w:eastAsia="Calibri" w:hAnsi="Calibri"/>
        </w:rPr>
        <w:t xml:space="preserve"/>
      </w:r>
    </w:p>
    <w:p>
      <w:pPr>
        <w:spacing w:after="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Control Owner Self-Assessment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960"/>
        <w:gridCol w:w="2000"/>
      </w:tblGrid>
      <w:tr>
        <w:tc>
          <w:tcPr>
            <w:tcW w:type="dxa" w:w="19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Dimension</w:t>
            </w:r>
          </w:p>
        </w:tc>
        <w:tc>
          <w:tcPr>
            <w:tcW w:type="dxa" w:w="15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Owner Rating</w:t>
            </w:r>
          </w:p>
        </w:tc>
        <w:tc>
          <w:tcPr>
            <w:tcW w:type="dxa" w:w="396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Rationale</w:t>
            </w:r>
          </w:p>
        </w:tc>
        <w:tc>
          <w:tcPr>
            <w:tcW w:type="dxa" w:w="20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Notes</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Design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Workflow logic and tiering well-designed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Operating Effectiveness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Weak</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Tier 2 SLA 62% vs 90% target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ACT-061 P1 raised</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Documentation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Process docs current; some training material outdated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Refresh in flight</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Capacity</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Weak</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8 FTE attrition outpaced replacement; recovery in progress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+12 FTE approved</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Overall Self-Assessment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Weak</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Two weak dimensions; recovery plan credible but unproven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Action Items from Interview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Action</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Owner / Due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ACT-061 (P1): Restore Tier 2 SLA to &gt;90% via FTE recovery and Pega automation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L. Thompson / Sept 30, 2026</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ACT-062: Cross-functional review with RB-CTRL-09 on vulnerable customer overlap</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L. Thompson + N. Patel / Jun 2026</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ACT-063: Monthly SLA reporting to Retail Risk Committee until SLA restored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L. Thompson / from May 2026</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ACT-064: Consumer Duty foreseeable harm assessment update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Conduct Risk / Jun 30, 2026</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8"/>
              <w:bottom w:val="single" w:color="B91C1C" w:sz="8"/>
              <w:right w:val="single" w:color="B91C1C" w:sz="8"/>
            </w:tcBorders>
            <w:shd w:fill="FEE2E2"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Interview concluded at 15:48 BST. Control owner candid and demonstrating clear understanding of weaknesses. Recovery plan credible — outcome dependent on Customer Operations hiring completion (Q2 2026) and Pega automation go-live (June 2026). Recommended residual risk rating: WEAK. P1 action raised. Status to be reviewed monthly until restored.</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RB-CTRL-06 · Overdraft &amp; Unauthorised Lending Monitoring  </w:t>
          </w:r>
          <w:r>
            <w:rPr>
              <w:rFonts w:ascii="Calibri" w:cs="Calibri" w:eastAsia="Calibri" w:hAnsi="Calibri"/>
              <w:color w:val="64748B"/>
              <w:sz w:val="18"/>
              <w:szCs w:val="18"/>
            </w:rPr>
            <w:t xml:space="preserve">| Control Owner Interview</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Retail Bank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2026-05-21T12:22:19.575Z</dcterms:created>
  <dcterms:modified xsi:type="dcterms:W3CDTF">2026-05-21T12:22:19.576Z</dcterms:modified>
</cp:coreProperties>
</file>

<file path=docProps/custom.xml><?xml version="1.0" encoding="utf-8"?>
<Properties xmlns="http://schemas.openxmlformats.org/officeDocument/2006/custom-properties" xmlns:vt="http://schemas.openxmlformats.org/officeDocument/2006/docPropsVTypes"/>
</file>