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Private Client Onboarding &amp; KYC</w:t>
            </w:r>
          </w:p>
          <w:p>
            <w:pPr>
              <w:spacing w:after="120"/>
            </w:pPr>
            <w:r>
              <w:rPr>
                <w:rFonts w:ascii="Calibri" w:cs="Calibri" w:eastAsia="Calibri" w:hAnsi="Calibri"/>
                <w:color w:val="94BAF7"/>
                <w:sz w:val="22"/>
                <w:szCs w:val="22"/>
              </w:rPr>
              <w:t xml:space="preserve">Wealth &amp; Private Banking  |  WM-CTRL-03</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WM-CTRL-03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Private Client Onboarding &amp; KYC</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Wealth &amp; Private Banking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 Mwangi, Head of Client Lifecycle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private banking and wealth clients are properly identified, verified, and risk-assessed at onboarding, including beneficial ownership, source of wealth, and PEP/sanctions screening, in line with AML regulations and the elevated risk profile of high-net-worth clients.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Money Laundering Regulations 2017 (as amended)</w:t>
      </w:r>
    </w:p>
    <w:p>
      <w:pPr>
        <w:pStyle w:val="ListParagraph"/>
        <w:numPr>
          <w:ilvl w:val="0"/>
          <w:numId w:val="2"/>
        </w:numPr>
        <w:spacing w:after="80"/>
      </w:pPr>
      <w:r>
        <w:rPr>
          <w:rFonts w:ascii="Calibri" w:cs="Calibri" w:eastAsia="Calibri" w:hAnsi="Calibri"/>
          <w:color w:val="1E293B"/>
          <w:sz w:val="21"/>
          <w:szCs w:val="21"/>
        </w:rPr>
        <w:t xml:space="preserve">FCA SYSC 6.3 — financial crime systems</w:t>
      </w:r>
    </w:p>
    <w:p>
      <w:pPr>
        <w:pStyle w:val="ListParagraph"/>
        <w:numPr>
          <w:ilvl w:val="0"/>
          <w:numId w:val="2"/>
        </w:numPr>
        <w:spacing w:after="80"/>
      </w:pPr>
      <w:r>
        <w:rPr>
          <w:rFonts w:ascii="Calibri" w:cs="Calibri" w:eastAsia="Calibri" w:hAnsi="Calibri"/>
          <w:color w:val="1E293B"/>
          <w:sz w:val="21"/>
          <w:szCs w:val="21"/>
        </w:rPr>
        <w:t xml:space="preserve">JMLSG Guidance — wealth management sector</w:t>
      </w:r>
    </w:p>
    <w:p>
      <w:pPr>
        <w:pStyle w:val="ListParagraph"/>
        <w:numPr>
          <w:ilvl w:val="0"/>
          <w:numId w:val="2"/>
        </w:numPr>
        <w:spacing w:after="80"/>
      </w:pPr>
      <w:r>
        <w:rPr>
          <w:rFonts w:ascii="Calibri" w:cs="Calibri" w:eastAsia="Calibri" w:hAnsi="Calibri"/>
          <w:color w:val="1E293B"/>
          <w:sz w:val="21"/>
          <w:szCs w:val="21"/>
        </w:rPr>
        <w:t xml:space="preserve">FATF Recommendations — high-risk client due diligence</w:t>
      </w:r>
    </w:p>
    <w:p>
      <w:pPr>
        <w:pStyle w:val="ListParagraph"/>
        <w:numPr>
          <w:ilvl w:val="0"/>
          <w:numId w:val="2"/>
        </w:numPr>
        <w:spacing w:after="80"/>
      </w:pPr>
      <w:r>
        <w:rPr>
          <w:rFonts w:ascii="Calibri" w:cs="Calibri" w:eastAsia="Calibri" w:hAnsi="Calibri"/>
          <w:color w:val="1E293B"/>
          <w:sz w:val="21"/>
          <w:szCs w:val="21"/>
        </w:rPr>
        <w:t xml:space="preserve">Proceeds of Crime Act 2002</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Private clients undergo enhanced due diligence reflecting the higher money laundering risk of high-net-worth individuals. Identity verified, beneficial ownership of structures established, source of wealth corroborated, PEP and sanctions screening performed. Risk rating drives ongoing monitoring intensity. Complex structures (trusts, foundations, holding companies) mapped.</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Identity verification — robust ID&amp;V for clients and connected parties</w:t>
      </w:r>
    </w:p>
    <w:p>
      <w:pPr>
        <w:pStyle w:val="ListParagraph"/>
        <w:numPr>
          <w:ilvl w:val="0"/>
          <w:numId w:val="2"/>
        </w:numPr>
        <w:spacing w:after="80"/>
      </w:pPr>
      <w:r>
        <w:rPr>
          <w:rFonts w:ascii="Calibri" w:cs="Calibri" w:eastAsia="Calibri" w:hAnsi="Calibri"/>
          <w:color w:val="1E293B"/>
          <w:sz w:val="21"/>
          <w:szCs w:val="21"/>
        </w:rPr>
        <w:t xml:space="preserve">Source of wealth — corroborated SoW for the client's overall wealth</w:t>
      </w:r>
    </w:p>
    <w:p>
      <w:pPr>
        <w:pStyle w:val="ListParagraph"/>
        <w:numPr>
          <w:ilvl w:val="0"/>
          <w:numId w:val="2"/>
        </w:numPr>
        <w:spacing w:after="80"/>
      </w:pPr>
      <w:r>
        <w:rPr>
          <w:rFonts w:ascii="Calibri" w:cs="Calibri" w:eastAsia="Calibri" w:hAnsi="Calibri"/>
          <w:color w:val="1E293B"/>
          <w:sz w:val="21"/>
          <w:szCs w:val="21"/>
        </w:rPr>
        <w:t xml:space="preserve">Source of funds — SoF for specific transactions/investments</w:t>
      </w:r>
    </w:p>
    <w:p>
      <w:pPr>
        <w:pStyle w:val="ListParagraph"/>
        <w:numPr>
          <w:ilvl w:val="0"/>
          <w:numId w:val="2"/>
        </w:numPr>
        <w:spacing w:after="80"/>
      </w:pPr>
      <w:r>
        <w:rPr>
          <w:rFonts w:ascii="Calibri" w:cs="Calibri" w:eastAsia="Calibri" w:hAnsi="Calibri"/>
          <w:color w:val="1E293B"/>
          <w:sz w:val="21"/>
          <w:szCs w:val="21"/>
        </w:rPr>
        <w:t xml:space="preserve">Beneficial ownership — structures mapped, UBOs identified and verified</w:t>
      </w:r>
    </w:p>
    <w:p>
      <w:pPr>
        <w:pStyle w:val="ListParagraph"/>
        <w:numPr>
          <w:ilvl w:val="0"/>
          <w:numId w:val="2"/>
        </w:numPr>
        <w:spacing w:after="80"/>
      </w:pPr>
      <w:r>
        <w:rPr>
          <w:rFonts w:ascii="Calibri" w:cs="Calibri" w:eastAsia="Calibri" w:hAnsi="Calibri"/>
          <w:color w:val="1E293B"/>
          <w:sz w:val="21"/>
          <w:szCs w:val="21"/>
        </w:rPr>
        <w:t xml:space="preserve">PEP/sanctions screening — enhanced screening given client profile</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Adequate rating reflects strong EDD framework with refinement in source-of-wealth corroboration depth and periodic review timeliness for the existing book.</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Source of wealth corroboration completeness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&lt;95% | Red: &lt;90%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PEP identification and EDD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100% of PEPs with EDD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Beneficial ownership identification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&lt;97% | Red: &lt;93%</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Periodic KYC review currency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&gt;12% overdue | Red: &gt;20%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Onboarding SLA (high-net-worth)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&lt;85% | Red: &lt;75%</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At onboarding; periodic review by risk rating (high-risk annual, standard 2-3 yearly); transaction-triggered review; quarterly QA.</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Client Lifecycle Team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Onboarding DD, periodic review</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Private Bankers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Client knowledge, SoW narrative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Financial Crime (2nd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High-risk approval, PEP oversight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MLRO (1st Line - SMF17)</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High-risk client approval, SAR decisions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financial crime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Strong EDD and beneficial ownership identification. Refinement: source-of-wealth corroboration depth (some narratives insufficiently evidenced) and periodic review backlog on the existing book. No material weaknesses.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WM-CTRL-03 · Private Client Onboarding &amp; KYC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2026-05-25T14:06:39.021Z</dcterms:created>
  <dcterms:modified xsi:type="dcterms:W3CDTF">2026-05-25T14:06:39.021Z</dcterms:modified>
</cp:coreProperties>
</file>

<file path=docProps/custom.xml><?xml version="1.0" encoding="utf-8"?>
<Properties xmlns="http://schemas.openxmlformats.org/officeDocument/2006/custom-properties" xmlns:vt="http://schemas.openxmlformats.org/officeDocument/2006/docPropsVTypes"/>
</file>